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color w:val="666666"/>
          <w:sz w:val="20"/>
          <w:szCs w:val="20"/>
        </w:rPr>
        <w:t xml:space="preserve">Standard Operating Procedure</w:t>
      </w:r>
    </w:p>
    <w:p>
      <w:pPr>
        <w:spacing w:after="160"/>
      </w:pPr>
      <w:r>
        <w:rPr>
          <w:rFonts w:ascii="Arial" w:cs="Arial" w:eastAsia="Arial" w:hAnsi="Arial"/>
          <w:b/>
          <w:bCs/>
          <w:color w:val="1F4E5F"/>
          <w:sz w:val="36"/>
          <w:szCs w:val="36"/>
        </w:rPr>
        <w:t xml:space="preserve">Notifying CQC of Reportable Events (Statutory Notifications)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SOP Reference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SG-02</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Category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Safeguarding</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Risk Level</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CRITICAL</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Applies to</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Registered manager / nominated individual (all staff must escalate to them)</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Version</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 (DRAFT for manager review)</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Date created</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June 2026</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Review date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June 2027 (review at least annually)</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Owner / approver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Andrea Tomkins (Registered Manager)</w:t>
            </w:r>
          </w:p>
        </w:tc>
      </w:tr>
    </w:tbl>
    <w:p>
      <w:pPr>
        <w:spacing w:after="120"/>
      </w:pPr>
      <w:r>
        <w:t xml:space="preserve"/>
      </w:r>
    </w:p>
    <w:p>
      <w:pPr>
        <w:pStyle w:val="Heading1"/>
      </w:pPr>
      <w:r>
        <w:t xml:space="preserve">1. Purpose</w:t>
      </w:r>
    </w:p>
    <w:p>
      <w:pPr>
        <w:spacing w:after="120"/>
      </w:pPr>
      <w:r>
        <w:rPr>
          <w:rFonts w:ascii="Arial" w:cs="Arial" w:eastAsia="Arial" w:hAnsi="Arial"/>
          <w:sz w:val="22"/>
          <w:szCs w:val="22"/>
        </w:rPr>
        <w:t xml:space="preserve">As a CQC-registered provider we are legally required to tell CQC about certain events that happen in the home. This procedure lists what must be notified, who does it, and by when, so we never miss a statutory notification — which is itself a breach of regulation.</w:t>
      </w:r>
    </w:p>
    <w:p>
      <w:pPr>
        <w:pStyle w:val="Heading1"/>
      </w:pPr>
      <w:r>
        <w:t xml:space="preserve">2. When this procedure applies (the trigger)</w:t>
      </w:r>
    </w:p>
    <w:p>
      <w:pPr>
        <w:spacing w:after="120"/>
      </w:pPr>
      <w:r>
        <w:rPr>
          <w:rFonts w:ascii="Arial" w:cs="Arial" w:eastAsia="Arial" w:hAnsi="Arial"/>
          <w:sz w:val="22"/>
          <w:szCs w:val="22"/>
        </w:rPr>
        <w:t xml:space="preserve">A notifiable event has occurred. The most common reportable events are:</w:t>
      </w:r>
    </w:p>
    <w:p>
      <w:pPr>
        <w:pStyle w:val="ListParagraph"/>
        <w:numPr>
          <w:ilvl w:val="0"/>
          <w:numId w:val="2"/>
        </w:numPr>
        <w:spacing w:after="60"/>
      </w:pPr>
      <w:r>
        <w:rPr>
          <w:rFonts w:ascii="Arial" w:cs="Arial" w:eastAsia="Arial" w:hAnsi="Arial"/>
          <w:sz w:val="22"/>
          <w:szCs w:val="22"/>
        </w:rPr>
        <w:t xml:space="preserve">Death of a person using the service.</w:t>
      </w:r>
    </w:p>
    <w:p>
      <w:pPr>
        <w:pStyle w:val="ListParagraph"/>
        <w:numPr>
          <w:ilvl w:val="0"/>
          <w:numId w:val="2"/>
        </w:numPr>
        <w:spacing w:after="60"/>
      </w:pPr>
      <w:r>
        <w:rPr>
          <w:rFonts w:ascii="Arial" w:cs="Arial" w:eastAsia="Arial" w:hAnsi="Arial"/>
          <w:sz w:val="22"/>
          <w:szCs w:val="22"/>
        </w:rPr>
        <w:t xml:space="preserve">Death or serious injury to a service user.</w:t>
      </w:r>
    </w:p>
    <w:p>
      <w:pPr>
        <w:pStyle w:val="ListParagraph"/>
        <w:numPr>
          <w:ilvl w:val="0"/>
          <w:numId w:val="2"/>
        </w:numPr>
        <w:spacing w:after="60"/>
      </w:pPr>
      <w:r>
        <w:rPr>
          <w:rFonts w:ascii="Arial" w:cs="Arial" w:eastAsia="Arial" w:hAnsi="Arial"/>
          <w:sz w:val="22"/>
          <w:szCs w:val="22"/>
        </w:rPr>
        <w:t xml:space="preserve">Abuse or allegation of abuse concerning a service user (safeguarding).</w:t>
      </w:r>
    </w:p>
    <w:p>
      <w:pPr>
        <w:pStyle w:val="ListParagraph"/>
        <w:numPr>
          <w:ilvl w:val="0"/>
          <w:numId w:val="2"/>
        </w:numPr>
        <w:spacing w:after="60"/>
      </w:pPr>
      <w:r>
        <w:rPr>
          <w:rFonts w:ascii="Arial" w:cs="Arial" w:eastAsia="Arial" w:hAnsi="Arial"/>
          <w:sz w:val="22"/>
          <w:szCs w:val="22"/>
        </w:rPr>
        <w:t xml:space="preserve">Any incident reported to or investigated by the police.</w:t>
      </w:r>
    </w:p>
    <w:p>
      <w:pPr>
        <w:pStyle w:val="ListParagraph"/>
        <w:numPr>
          <w:ilvl w:val="0"/>
          <w:numId w:val="2"/>
        </w:numPr>
        <w:spacing w:after="60"/>
      </w:pPr>
      <w:r>
        <w:rPr>
          <w:rFonts w:ascii="Arial" w:cs="Arial" w:eastAsia="Arial" w:hAnsi="Arial"/>
          <w:sz w:val="22"/>
          <w:szCs w:val="22"/>
        </w:rPr>
        <w:t xml:space="preserve">Serious injury to a service user.</w:t>
      </w:r>
    </w:p>
    <w:p>
      <w:pPr>
        <w:pStyle w:val="ListParagraph"/>
        <w:numPr>
          <w:ilvl w:val="0"/>
          <w:numId w:val="2"/>
        </w:numPr>
        <w:spacing w:after="60"/>
      </w:pPr>
      <w:r>
        <w:rPr>
          <w:rFonts w:ascii="Arial" w:cs="Arial" w:eastAsia="Arial" w:hAnsi="Arial"/>
          <w:sz w:val="22"/>
          <w:szCs w:val="22"/>
        </w:rPr>
        <w:t xml:space="preserve">Events that stop, or may stop, the service running safely and properly (e.g. fire, flood, infectious outbreak, staffing collapse, loss of utilities).</w:t>
      </w:r>
    </w:p>
    <w:p>
      <w:pPr>
        <w:pStyle w:val="ListParagraph"/>
        <w:numPr>
          <w:ilvl w:val="0"/>
          <w:numId w:val="2"/>
        </w:numPr>
        <w:spacing w:after="60"/>
      </w:pPr>
      <w:r>
        <w:rPr>
          <w:rFonts w:ascii="Arial" w:cs="Arial" w:eastAsia="Arial" w:hAnsi="Arial"/>
          <w:sz w:val="22"/>
          <w:szCs w:val="22"/>
        </w:rPr>
        <w:t xml:space="preserve">An application to deprive a person of their liberty (DoLS) outcome, where required.</w:t>
      </w:r>
    </w:p>
    <w:p>
      <w:pPr>
        <w:pStyle w:val="ListParagraph"/>
        <w:numPr>
          <w:ilvl w:val="0"/>
          <w:numId w:val="2"/>
        </w:numPr>
        <w:spacing w:after="60"/>
      </w:pPr>
      <w:r>
        <w:rPr>
          <w:rFonts w:ascii="Arial" w:cs="Arial" w:eastAsia="Arial" w:hAnsi="Arial"/>
          <w:sz w:val="22"/>
          <w:szCs w:val="22"/>
        </w:rPr>
        <w:t xml:space="preserve">Changes to the provider/manager details (registration changes).</w:t>
      </w:r>
    </w:p>
    <w:p>
      <w:pPr>
        <w:spacing w:after="120"/>
      </w:pPr>
      <w:r>
        <w:rPr>
          <w:rFonts w:ascii="Arial" w:cs="Arial" w:eastAsia="Arial" w:hAnsi="Arial"/>
          <w:sz w:val="22"/>
          <w:szCs w:val="22"/>
        </w:rPr>
        <w:t xml:space="preserve">If you are unsure whether something is notifiable, treat it as if it is and check with CQC — under-reporting is the risk.</w:t>
      </w:r>
    </w:p>
    <w:p>
      <w:pPr>
        <w:pStyle w:val="Heading1"/>
      </w:pPr>
      <w:r>
        <w:t xml:space="preserve">3. What to do — step by step</w:t>
      </w:r>
    </w:p>
    <w:p>
      <w:pPr>
        <w:pStyle w:val="ListParagraph"/>
        <w:numPr>
          <w:ilvl w:val="0"/>
          <w:numId w:val="3"/>
        </w:numPr>
        <w:spacing w:after="80"/>
      </w:pPr>
      <w:r>
        <w:rPr>
          <w:rFonts w:ascii="Arial" w:cs="Arial" w:eastAsia="Arial" w:hAnsi="Arial"/>
          <w:sz w:val="22"/>
          <w:szCs w:val="22"/>
        </w:rPr>
        <w:t xml:space="preserve">Any staff member who becomes aware of a potentially notifiable event reports it immediately to the registered manager (or, in their absence, the most senior person on duty / provider).</w:t>
      </w:r>
    </w:p>
    <w:p>
      <w:pPr>
        <w:pStyle w:val="ListParagraph"/>
        <w:numPr>
          <w:ilvl w:val="0"/>
          <w:numId w:val="3"/>
        </w:numPr>
        <w:spacing w:after="80"/>
      </w:pPr>
      <w:r>
        <w:rPr>
          <w:rFonts w:ascii="Arial" w:cs="Arial" w:eastAsia="Arial" w:hAnsi="Arial"/>
          <w:sz w:val="22"/>
          <w:szCs w:val="22"/>
        </w:rPr>
        <w:t xml:space="preserve">Ensure the immediate situation is safe and any related procedures (safeguarding, first aid, incident reporting) are already underway.</w:t>
      </w:r>
    </w:p>
    <w:p>
      <w:pPr>
        <w:pStyle w:val="ListParagraph"/>
        <w:numPr>
          <w:ilvl w:val="0"/>
          <w:numId w:val="3"/>
        </w:numPr>
        <w:spacing w:after="80"/>
      </w:pPr>
      <w:r>
        <w:rPr>
          <w:rFonts w:ascii="Arial" w:cs="Arial" w:eastAsia="Arial" w:hAnsi="Arial"/>
          <w:sz w:val="22"/>
          <w:szCs w:val="22"/>
        </w:rPr>
        <w:t xml:space="preserve">The registered manager decides whether the event is notifiable. If in doubt, notify.</w:t>
      </w:r>
    </w:p>
    <w:p>
      <w:pPr>
        <w:pStyle w:val="ListParagraph"/>
        <w:numPr>
          <w:ilvl w:val="0"/>
          <w:numId w:val="3"/>
        </w:numPr>
        <w:spacing w:after="80"/>
      </w:pPr>
      <w:r>
        <w:rPr>
          <w:rFonts w:ascii="Arial" w:cs="Arial" w:eastAsia="Arial" w:hAnsi="Arial"/>
          <w:sz w:val="22"/>
          <w:szCs w:val="22"/>
        </w:rPr>
        <w:t xml:space="preserve">Gather the key facts: who, what, when, where, what action was taken, current status of the person.</w:t>
      </w:r>
    </w:p>
    <w:p>
      <w:pPr>
        <w:pStyle w:val="ListParagraph"/>
        <w:numPr>
          <w:ilvl w:val="0"/>
          <w:numId w:val="3"/>
        </w:numPr>
        <w:spacing w:after="80"/>
      </w:pPr>
      <w:r>
        <w:rPr>
          <w:rFonts w:ascii="Arial" w:cs="Arial" w:eastAsia="Arial" w:hAnsi="Arial"/>
          <w:sz w:val="22"/>
          <w:szCs w:val="22"/>
        </w:rPr>
        <w:t xml:space="preserve">Submit the notification to CQC using the correct method — normally the CQC online provider portal, or the relevant statutory notification form.</w:t>
      </w:r>
    </w:p>
    <w:p>
      <w:pPr>
        <w:pStyle w:val="ListParagraph"/>
        <w:numPr>
          <w:ilvl w:val="0"/>
          <w:numId w:val="3"/>
        </w:numPr>
        <w:spacing w:after="80"/>
      </w:pPr>
      <w:r>
        <w:rPr>
          <w:rFonts w:ascii="Arial" w:cs="Arial" w:eastAsia="Arial" w:hAnsi="Arial"/>
          <w:sz w:val="22"/>
          <w:szCs w:val="22"/>
        </w:rPr>
        <w:t xml:space="preserve">Record that the notification was made: date, time, who submitted it, and keep a copy/reference number.</w:t>
      </w:r>
    </w:p>
    <w:p>
      <w:pPr>
        <w:pStyle w:val="ListParagraph"/>
        <w:numPr>
          <w:ilvl w:val="0"/>
          <w:numId w:val="3"/>
        </w:numPr>
        <w:spacing w:after="80"/>
      </w:pPr>
      <w:r>
        <w:rPr>
          <w:rFonts w:ascii="Arial" w:cs="Arial" w:eastAsia="Arial" w:hAnsi="Arial"/>
          <w:sz w:val="22"/>
          <w:szCs w:val="22"/>
        </w:rPr>
        <w:t xml:space="preserve">Complete any linked actions (safeguarding referral, RIDDOR, coroner, police) — a CQC notification does not replace these.</w:t>
      </w:r>
    </w:p>
    <w:p>
      <w:pPr>
        <w:pStyle w:val="ListParagraph"/>
        <w:numPr>
          <w:ilvl w:val="0"/>
          <w:numId w:val="3"/>
        </w:numPr>
        <w:spacing w:after="80"/>
      </w:pPr>
      <w:r>
        <w:rPr>
          <w:rFonts w:ascii="Arial" w:cs="Arial" w:eastAsia="Arial" w:hAnsi="Arial"/>
          <w:sz w:val="22"/>
          <w:szCs w:val="22"/>
        </w:rPr>
        <w:t xml:space="preserve">Follow up if CQC requests further information.</w:t>
      </w:r>
    </w:p>
    <w:p>
      <w:pPr>
        <w:pStyle w:val="Heading1"/>
      </w:pPr>
      <w:r>
        <w:t xml:space="preserve">4. Do and Don't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top"/>
          </w:tcPr>
          <w:p>
            <w:pPr>
              <w:spacing w:after="100"/>
            </w:pPr>
            <w:r>
              <w:rPr>
                <w:rFonts w:ascii="Arial" w:cs="Arial" w:eastAsia="Arial" w:hAnsi="Arial"/>
                <w:b/>
                <w:bCs/>
                <w:color w:val="1E6B3A"/>
                <w:sz w:val="22"/>
                <w:szCs w:val="22"/>
              </w:rPr>
              <w:t xml:space="preserve">✓ WHAT YOU SHOULD DO</w:t>
            </w:r>
          </w:p>
          <w:p>
            <w:pPr>
              <w:pStyle w:val="ListParagraph"/>
              <w:numPr>
                <w:ilvl w:val="0"/>
                <w:numId w:val="4"/>
              </w:numPr>
              <w:spacing w:after="60"/>
            </w:pPr>
            <w:r>
              <w:rPr>
                <w:rFonts w:ascii="Arial" w:cs="Arial" w:eastAsia="Arial" w:hAnsi="Arial"/>
                <w:sz w:val="20"/>
                <w:szCs w:val="20"/>
              </w:rPr>
              <w:t xml:space="preserve">Report potentially notifiable events to the manager immediately</w:t>
            </w:r>
          </w:p>
          <w:p>
            <w:pPr>
              <w:pStyle w:val="ListParagraph"/>
              <w:numPr>
                <w:ilvl w:val="0"/>
                <w:numId w:val="4"/>
              </w:numPr>
              <w:spacing w:after="60"/>
            </w:pPr>
            <w:r>
              <w:rPr>
                <w:rFonts w:ascii="Arial" w:cs="Arial" w:eastAsia="Arial" w:hAnsi="Arial"/>
                <w:sz w:val="20"/>
                <w:szCs w:val="20"/>
              </w:rPr>
              <w:t xml:space="preserve">Notify CQC without delay once an event is confirmed notifiable</w:t>
            </w:r>
          </w:p>
          <w:p>
            <w:pPr>
              <w:pStyle w:val="ListParagraph"/>
              <w:numPr>
                <w:ilvl w:val="0"/>
                <w:numId w:val="4"/>
              </w:numPr>
              <w:spacing w:after="60"/>
            </w:pPr>
            <w:r>
              <w:rPr>
                <w:rFonts w:ascii="Arial" w:cs="Arial" w:eastAsia="Arial" w:hAnsi="Arial"/>
                <w:sz w:val="20"/>
                <w:szCs w:val="20"/>
              </w:rPr>
              <w:t xml:space="preserve">Keep a dated record and reference number of every notification</w:t>
            </w:r>
          </w:p>
          <w:p>
            <w:pPr>
              <w:pStyle w:val="ListParagraph"/>
              <w:numPr>
                <w:ilvl w:val="0"/>
                <w:numId w:val="4"/>
              </w:numPr>
              <w:spacing w:after="60"/>
            </w:pPr>
            <w:r>
              <w:rPr>
                <w:rFonts w:ascii="Arial" w:cs="Arial" w:eastAsia="Arial" w:hAnsi="Arial"/>
                <w:sz w:val="20"/>
                <w:szCs w:val="20"/>
              </w:rPr>
              <w:t xml:space="preserve">Notify even when unsure — err on the side of reporting</w:t>
            </w:r>
          </w:p>
          <w:p>
            <w:pPr>
              <w:pStyle w:val="ListParagraph"/>
              <w:numPr>
                <w:ilvl w:val="0"/>
                <w:numId w:val="4"/>
              </w:numPr>
              <w:spacing w:after="60"/>
            </w:pPr>
            <w:r>
              <w:rPr>
                <w:rFonts w:ascii="Arial" w:cs="Arial" w:eastAsia="Arial" w:hAnsi="Arial"/>
                <w:sz w:val="20"/>
                <w:szCs w:val="20"/>
              </w:rPr>
              <w:t xml:space="preserve">Complete linked referrals (safeguarding, RIDDOR, police) as well</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top"/>
          </w:tcPr>
          <w:p>
            <w:pPr>
              <w:spacing w:after="100"/>
            </w:pPr>
            <w:r>
              <w:rPr>
                <w:rFonts w:ascii="Arial" w:cs="Arial" w:eastAsia="Arial" w:hAnsi="Arial"/>
                <w:b/>
                <w:bCs/>
                <w:color w:val="B02A37"/>
                <w:sz w:val="22"/>
                <w:szCs w:val="22"/>
              </w:rPr>
              <w:t xml:space="preserve">✗ WHAT YOU SHOULD NOT DO</w:t>
            </w:r>
          </w:p>
          <w:p>
            <w:pPr>
              <w:pStyle w:val="ListParagraph"/>
              <w:numPr>
                <w:ilvl w:val="0"/>
                <w:numId w:val="5"/>
              </w:numPr>
              <w:spacing w:after="60"/>
            </w:pPr>
            <w:r>
              <w:rPr>
                <w:rFonts w:ascii="Arial" w:cs="Arial" w:eastAsia="Arial" w:hAnsi="Arial"/>
                <w:sz w:val="20"/>
                <w:szCs w:val="20"/>
              </w:rPr>
              <w:t xml:space="preserve">Do NOT assume someone else has notified CQC</w:t>
            </w:r>
          </w:p>
          <w:p>
            <w:pPr>
              <w:pStyle w:val="ListParagraph"/>
              <w:numPr>
                <w:ilvl w:val="0"/>
                <w:numId w:val="5"/>
              </w:numPr>
              <w:spacing w:after="60"/>
            </w:pPr>
            <w:r>
              <w:rPr>
                <w:rFonts w:ascii="Arial" w:cs="Arial" w:eastAsia="Arial" w:hAnsi="Arial"/>
                <w:sz w:val="20"/>
                <w:szCs w:val="20"/>
              </w:rPr>
              <w:t xml:space="preserve">Do NOT delay because you are waiting for full details</w:t>
            </w:r>
          </w:p>
          <w:p>
            <w:pPr>
              <w:pStyle w:val="ListParagraph"/>
              <w:numPr>
                <w:ilvl w:val="0"/>
                <w:numId w:val="5"/>
              </w:numPr>
              <w:spacing w:after="60"/>
            </w:pPr>
            <w:r>
              <w:rPr>
                <w:rFonts w:ascii="Arial" w:cs="Arial" w:eastAsia="Arial" w:hAnsi="Arial"/>
                <w:sz w:val="20"/>
                <w:szCs w:val="20"/>
              </w:rPr>
              <w:t xml:space="preserve">Do NOT treat a CQC notification as a substitute for safeguarding/RIDDOR</w:t>
            </w:r>
          </w:p>
          <w:p>
            <w:pPr>
              <w:pStyle w:val="ListParagraph"/>
              <w:numPr>
                <w:ilvl w:val="0"/>
                <w:numId w:val="5"/>
              </w:numPr>
              <w:spacing w:after="60"/>
            </w:pPr>
            <w:r>
              <w:rPr>
                <w:rFonts w:ascii="Arial" w:cs="Arial" w:eastAsia="Arial" w:hAnsi="Arial"/>
                <w:sz w:val="20"/>
                <w:szCs w:val="20"/>
              </w:rPr>
              <w:t xml:space="preserve">Do NOT share confidential resident data beyond what is required</w:t>
            </w:r>
          </w:p>
          <w:p>
            <w:pPr>
              <w:pStyle w:val="ListParagraph"/>
              <w:numPr>
                <w:ilvl w:val="0"/>
                <w:numId w:val="5"/>
              </w:numPr>
              <w:spacing w:after="60"/>
            </w:pPr>
            <w:r>
              <w:rPr>
                <w:rFonts w:ascii="Arial" w:cs="Arial" w:eastAsia="Arial" w:hAnsi="Arial"/>
                <w:sz w:val="20"/>
                <w:szCs w:val="20"/>
              </w:rPr>
              <w:t xml:space="preserve">Do NOT leave notifications to chance — log them</w:t>
            </w:r>
          </w:p>
        </w:tc>
      </w:tr>
    </w:tbl>
    <w:p>
      <w:pPr>
        <w:spacing w:after="120"/>
      </w:pPr>
      <w:r>
        <w:t xml:space="preserve"/>
      </w:r>
    </w:p>
    <w:p>
      <w:pPr>
        <w:pStyle w:val="Heading1"/>
      </w:pPr>
      <w:r>
        <w:t xml:space="preserve">5. Who to contact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5960"/>
      </w:tblGrid>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Registered manager</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Name: Andrea Tomkins   Tel: 01704 564801 / 07912 939719</w:t>
            </w:r>
          </w:p>
        </w:tc>
      </w:tr>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Nominated individual / provider</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Name: Andrea Tomkins   Tel: 01704 564801 / 07912 939719</w:t>
            </w:r>
          </w:p>
        </w:tc>
      </w:tr>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CQC (general enquiries)</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03000 616161</w:t>
            </w:r>
          </w:p>
        </w:tc>
      </w:tr>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CQC provider portal</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https://www.cqc.org.uk (online notifications)</w:t>
            </w:r>
          </w:p>
        </w:tc>
      </w:tr>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Local Authority safeguarding</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Tel: ______________</w:t>
            </w:r>
          </w:p>
        </w:tc>
      </w:tr>
    </w:tbl>
    <w:p>
      <w:pPr>
        <w:spacing w:after="120"/>
      </w:pPr>
      <w:r>
        <w:t xml:space="preserve"/>
      </w:r>
    </w:p>
    <w:p>
      <w:pPr>
        <w:pStyle w:val="Heading1"/>
      </w:pPr>
      <w:r>
        <w:t xml:space="preserve">6. Timescales</w:t>
      </w:r>
    </w:p>
    <w:p>
      <w:pPr>
        <w:pStyle w:val="ListParagraph"/>
        <w:numPr>
          <w:ilvl w:val="0"/>
          <w:numId w:val="2"/>
        </w:numPr>
        <w:spacing w:after="60"/>
      </w:pPr>
      <w:r>
        <w:rPr>
          <w:rFonts w:ascii="Arial" w:cs="Arial" w:eastAsia="Arial" w:hAnsi="Arial"/>
          <w:sz w:val="22"/>
          <w:szCs w:val="22"/>
        </w:rPr>
        <w:t xml:space="preserve">Most statutory notifications must be made without delay / as soon as possible after the event.</w:t>
      </w:r>
    </w:p>
    <w:p>
      <w:pPr>
        <w:pStyle w:val="ListParagraph"/>
        <w:numPr>
          <w:ilvl w:val="0"/>
          <w:numId w:val="2"/>
        </w:numPr>
        <w:spacing w:after="60"/>
      </w:pPr>
      <w:r>
        <w:rPr>
          <w:rFonts w:ascii="Arial" w:cs="Arial" w:eastAsia="Arial" w:hAnsi="Arial"/>
          <w:sz w:val="22"/>
          <w:szCs w:val="22"/>
        </w:rPr>
        <w:t xml:space="preserve">Death notifications: as soon as possible after becoming aware.</w:t>
      </w:r>
    </w:p>
    <w:p>
      <w:pPr>
        <w:pStyle w:val="ListParagraph"/>
        <w:numPr>
          <w:ilvl w:val="0"/>
          <w:numId w:val="2"/>
        </w:numPr>
        <w:spacing w:after="60"/>
      </w:pPr>
      <w:r>
        <w:rPr>
          <w:rFonts w:ascii="Arial" w:cs="Arial" w:eastAsia="Arial" w:hAnsi="Arial"/>
          <w:sz w:val="22"/>
          <w:szCs w:val="22"/>
        </w:rPr>
        <w:t xml:space="preserve">Always notify the same day where practical.</w:t>
      </w:r>
    </w:p>
    <w:p>
      <w:pPr>
        <w:pStyle w:val="Heading1"/>
      </w:pPr>
      <w:r>
        <w:t xml:space="preserve">7. Recording</w:t>
      </w:r>
    </w:p>
    <w:p>
      <w:pPr>
        <w:spacing w:after="120"/>
      </w:pPr>
      <w:r>
        <w:rPr>
          <w:rFonts w:ascii="Arial" w:cs="Arial" w:eastAsia="Arial" w:hAnsi="Arial"/>
          <w:sz w:val="22"/>
          <w:szCs w:val="22"/>
        </w:rPr>
        <w:t xml:space="preserve">Keep a notifications log recording the event, date notified, method, who submitted it, and the CQC reference. Store securely. This log is evidence of compliance at inspection.</w:t>
      </w:r>
    </w:p>
    <w:p>
      <w:pPr>
        <w:pBdr>
          <w:top w:val="single" w:sz="4" w:space="4" w:color="CDD9C2"/>
          <w:left w:val="single" w:sz="18" w:space="6" w:color="6F8B5F"/>
          <w:bottom w:val="single" w:sz="4" w:space="4" w:color="CDD9C2"/>
          <w:right w:val="single" w:sz="4" w:space="4" w:color="CDD9C2"/>
        </w:pBdr>
        <w:shd w:val="clear" w:color="auto" w:fill="E9EFE3"/>
        <w:spacing w:before="120" w:after="120"/>
      </w:pPr>
      <w:r>
        <w:rPr>
          <w:b/>
          <w:color w:val="4F6A43"/>
          <w:sz w:val="20"/>
        </w:rPr>
        <w:t xml:space="preserve">Where to record this: use the CQC Notifications Log (in Forms &amp; Logs) to record every notification and its CQC reference number.</w:t>
      </w:r>
    </w:p>
    <w:p>
      <w:pPr>
        <w:pStyle w:val="Heading1"/>
      </w:pPr>
      <w:r>
        <w:t xml:space="preserve">8. Related procedures</w:t>
      </w:r>
    </w:p>
    <w:p>
      <w:pPr>
        <w:pStyle w:val="ListParagraph"/>
        <w:numPr>
          <w:ilvl w:val="0"/>
          <w:numId w:val="2"/>
        </w:numPr>
        <w:spacing w:after="60"/>
      </w:pPr>
      <w:r>
        <w:rPr>
          <w:rFonts w:ascii="Arial" w:cs="Arial" w:eastAsia="Arial" w:hAnsi="Arial"/>
          <w:sz w:val="22"/>
          <w:szCs w:val="22"/>
        </w:rPr>
        <w:t xml:space="preserve">Safeguarding SOP (SG-01)</w:t>
      </w:r>
    </w:p>
    <w:p>
      <w:pPr>
        <w:pStyle w:val="ListParagraph"/>
        <w:numPr>
          <w:ilvl w:val="0"/>
          <w:numId w:val="2"/>
        </w:numPr>
        <w:spacing w:after="60"/>
      </w:pPr>
      <w:r>
        <w:rPr>
          <w:rFonts w:ascii="Arial" w:cs="Arial" w:eastAsia="Arial" w:hAnsi="Arial"/>
          <w:sz w:val="22"/>
          <w:szCs w:val="22"/>
        </w:rPr>
        <w:t xml:space="preserve">Accident/incident &amp; RIDDOR SOP (SG-03)</w:t>
      </w:r>
    </w:p>
    <w:p>
      <w:pPr>
        <w:pStyle w:val="ListParagraph"/>
        <w:numPr>
          <w:ilvl w:val="0"/>
          <w:numId w:val="2"/>
        </w:numPr>
        <w:spacing w:after="60"/>
      </w:pPr>
      <w:r>
        <w:rPr>
          <w:rFonts w:ascii="Arial" w:cs="Arial" w:eastAsia="Arial" w:hAnsi="Arial"/>
          <w:sz w:val="22"/>
          <w:szCs w:val="22"/>
        </w:rPr>
        <w:t xml:space="preserve">Death of a resident SOP (SG-05)</w:t>
      </w:r>
    </w:p>
    <w:p>
      <w:pPr>
        <w:pStyle w:val="Heading1"/>
      </w:pPr>
      <w:r>
        <w:t xml:space="preserve">9. Manager review checklist</w:t>
      </w:r>
    </w:p>
    <w:p>
      <w:pPr>
        <w:spacing w:after="120"/>
      </w:pPr>
      <w:r>
        <w:rPr>
          <w:rFonts w:ascii="Arial" w:cs="Arial" w:eastAsia="Arial" w:hAnsi="Arial"/>
          <w:sz w:val="22"/>
          <w:szCs w:val="22"/>
        </w:rPr>
        <w:t xml:space="preserve">Before go-live, confirm: the current CQC notification method/portal login is recorded; the notifications log exists and its location is known; contact details are complete; and staff know to escalate immediately. Then complete the header boxes and mark 'Done' in the tracker.</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66666"/>
        <w:sz w:val="16"/>
        <w:szCs w:val="16"/>
      </w:rPr>
      <w:t xml:space="preserve">Uncontrolled when printed — check the tracker for the current version.   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5F" w:sz="6" w:space="4"/>
      </w:pBdr>
    </w:pPr>
    <w:r>
      <w:rPr>
        <w:rFonts w:ascii="Arial" w:cs="Arial" w:eastAsia="Arial" w:hAnsi="Arial"/>
        <w:b/>
        <w:bCs/>
        <w:color w:val="1F4E5F"/>
        <w:sz w:val="16"/>
        <w:szCs w:val="16"/>
      </w:rPr>
      <w:t xml:space="preserve">STANDARD OPERATING PROCEDURE</w:t>
    </w:r>
    <w:r>
      <w:rPr>
        <w:rFonts w:ascii="Arial" w:cs="Arial" w:eastAsia="Arial" w:hAnsi="Arial"/>
        <w:color w:val="666666"/>
        <w:sz w:val="16"/>
        <w:szCs w:val="16"/>
      </w:rPr>
      <w:t xml:space="preserve">   |   CQC Statutory Notifications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600" w:hanging="360"/>
      </w:pPr>
    </w:lvl>
  </w:abstractNum>
  <w:abstractNum w:abstractNumId="3" w15:restartNumberingAfterBreak="0">
    <w:multiLevelType w:val="hybridMultilevel"/>
    <w:lvl w:ilvl="0" w15:tentative="1">
      <w:start w:val="1"/>
      <w:numFmt w:val="bullet"/>
      <w:lvlText w:val="•"/>
      <w:lvlJc w:val="left"/>
      <w:pPr>
        <w:ind w:left="500" w:hanging="280"/>
      </w:pPr>
    </w:lvl>
  </w:abstractNum>
  <w:abstractNum w:abstractNumId="4" w15:restartNumberingAfterBreak="0">
    <w:multiLevelType w:val="hybridMultilevel"/>
    <w:lvl w:ilvl="0" w15:tentative="1">
      <w:start w:val="1"/>
      <w:numFmt w:val="bullet"/>
      <w:lvlText w:val="✓"/>
      <w:lvlJc w:val="left"/>
      <w:pPr>
        <w:ind w:left="360" w:hanging="240"/>
      </w:pPr>
    </w:lvl>
  </w:abstractNum>
  <w:abstractNum w:abstractNumId="5"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1F4E5F"/>
      <w:sz w:val="26"/>
      <w:szCs w:val="26"/>
    </w:rPr>
  </w:style>
  <w:style w:type="paragraph" w:styleId="Heading2">
    <w:name w:val="Heading 2"/>
    <w:basedOn w:val="Normal"/>
    <w:next w:val="Normal"/>
    <w:qFormat/>
    <w:pPr>
      <w:spacing w:after="100" w:before="180"/>
      <w:outlineLvl w:val="1"/>
    </w:pPr>
    <w:rPr>
      <w:rFonts w:ascii="Arial" w:cs="Arial" w:eastAsia="Arial" w:hAnsi="Arial"/>
      <w:b/>
      <w:bCs/>
      <w:color w:val="000000"/>
      <w:sz w:val="23"/>
      <w:szCs w:val="23"/>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2026-06-24T15:48:04.933Z</dcterms:created>
  <dcterms:modified xsi:type="dcterms:W3CDTF">2026-06-24T15:48:04.934Z</dcterms:modified>
</cp:coreProperties>
</file>

<file path=docProps/custom.xml><?xml version="1.0" encoding="utf-8"?>
<Properties xmlns="http://schemas.openxmlformats.org/officeDocument/2006/custom-properties" xmlns:vt="http://schemas.openxmlformats.org/officeDocument/2006/docPropsVTypes"/>
</file>