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CQC Registration and Regulatory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REG-01</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Regulatory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Registered manager / nominated individual / provider</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ensure the home maintains its CQC registration correctly, keeps registration details up to date, meets the fundamental standards, and is always ready for inspection. Operating outside the terms of registration is unlawful.</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Any change to the registered manager, nominated individual, provider, location or conditions of registration.</w:t>
      </w:r>
    </w:p>
    <w:p>
      <w:pPr>
        <w:pStyle w:val="ListParagraph"/>
        <w:numPr>
          <w:ilvl w:val="0"/>
          <w:numId w:val="2"/>
        </w:numPr>
        <w:spacing w:after="60"/>
      </w:pPr>
      <w:r>
        <w:rPr>
          <w:rFonts w:ascii="Arial" w:cs="Arial" w:eastAsia="Arial" w:hAnsi="Arial"/>
          <w:sz w:val="22"/>
          <w:szCs w:val="22"/>
        </w:rPr>
        <w:t xml:space="preserve">Preparing for or responding to a CQC inspection or information request.</w:t>
      </w:r>
    </w:p>
    <w:p>
      <w:pPr>
        <w:pStyle w:val="ListParagraph"/>
        <w:numPr>
          <w:ilvl w:val="0"/>
          <w:numId w:val="2"/>
        </w:numPr>
        <w:spacing w:after="60"/>
      </w:pPr>
      <w:r>
        <w:rPr>
          <w:rFonts w:ascii="Arial" w:cs="Arial" w:eastAsia="Arial" w:hAnsi="Arial"/>
          <w:sz w:val="22"/>
          <w:szCs w:val="22"/>
        </w:rPr>
        <w:t xml:space="preserve">Routine ongoing compliance and evidence-keeping.</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Keep registration details accurate. Notify CQC promptly of changes to the registered manager, nominated individual, address, or service conditions.</w:t>
      </w:r>
    </w:p>
    <w:p>
      <w:pPr>
        <w:pStyle w:val="ListParagraph"/>
        <w:numPr>
          <w:ilvl w:val="0"/>
          <w:numId w:val="3"/>
        </w:numPr>
        <w:spacing w:after="80"/>
      </w:pPr>
      <w:r>
        <w:rPr>
          <w:rFonts w:ascii="Arial" w:cs="Arial" w:eastAsia="Arial" w:hAnsi="Arial"/>
          <w:sz w:val="22"/>
          <w:szCs w:val="22"/>
        </w:rPr>
        <w:t xml:space="preserve">Maintain evidence against the fundamental standards and CQC's assessment framework (quality statements / key questions: safe, effective, caring, responsive, well-led).</w:t>
      </w:r>
    </w:p>
    <w:p>
      <w:pPr>
        <w:pStyle w:val="ListParagraph"/>
        <w:numPr>
          <w:ilvl w:val="0"/>
          <w:numId w:val="3"/>
        </w:numPr>
        <w:spacing w:after="80"/>
      </w:pPr>
      <w:r>
        <w:rPr>
          <w:rFonts w:ascii="Arial" w:cs="Arial" w:eastAsia="Arial" w:hAnsi="Arial"/>
          <w:sz w:val="22"/>
          <w:szCs w:val="22"/>
        </w:rPr>
        <w:t xml:space="preserve">Keep an ongoing 'evidence file' / provider information so you can demonstrate compliance at any time (policies, audits, training matrix, care records samples, feedback).</w:t>
      </w:r>
    </w:p>
    <w:p>
      <w:pPr>
        <w:pStyle w:val="ListParagraph"/>
        <w:numPr>
          <w:ilvl w:val="0"/>
          <w:numId w:val="3"/>
        </w:numPr>
        <w:spacing w:after="80"/>
      </w:pPr>
      <w:r>
        <w:rPr>
          <w:rFonts w:ascii="Arial" w:cs="Arial" w:eastAsia="Arial" w:hAnsi="Arial"/>
          <w:sz w:val="22"/>
          <w:szCs w:val="22"/>
        </w:rPr>
        <w:t xml:space="preserve">Make all required statutory notifications (see SG-02).</w:t>
      </w:r>
    </w:p>
    <w:p>
      <w:pPr>
        <w:pStyle w:val="ListParagraph"/>
        <w:numPr>
          <w:ilvl w:val="0"/>
          <w:numId w:val="3"/>
        </w:numPr>
        <w:spacing w:after="80"/>
      </w:pPr>
      <w:r>
        <w:rPr>
          <w:rFonts w:ascii="Arial" w:cs="Arial" w:eastAsia="Arial" w:hAnsi="Arial"/>
          <w:sz w:val="22"/>
          <w:szCs w:val="22"/>
        </w:rPr>
        <w:t xml:space="preserve">If a registered manager leaves, apply for a new manager's registration without undue delay and tell CQC.</w:t>
      </w:r>
    </w:p>
    <w:p>
      <w:pPr>
        <w:pStyle w:val="ListParagraph"/>
        <w:numPr>
          <w:ilvl w:val="0"/>
          <w:numId w:val="3"/>
        </w:numPr>
        <w:spacing w:after="80"/>
      </w:pPr>
      <w:r>
        <w:rPr>
          <w:rFonts w:ascii="Arial" w:cs="Arial" w:eastAsia="Arial" w:hAnsi="Arial"/>
          <w:sz w:val="22"/>
          <w:szCs w:val="22"/>
        </w:rPr>
        <w:t xml:space="preserve">Respond to inspection feedback and any requirement/enforcement action with an action plan and timescales.</w:t>
      </w:r>
    </w:p>
    <w:p>
      <w:pPr>
        <w:pStyle w:val="ListParagraph"/>
        <w:numPr>
          <w:ilvl w:val="0"/>
          <w:numId w:val="3"/>
        </w:numPr>
        <w:spacing w:after="80"/>
      </w:pPr>
      <w:r>
        <w:rPr>
          <w:rFonts w:ascii="Arial" w:cs="Arial" w:eastAsia="Arial" w:hAnsi="Arial"/>
          <w:sz w:val="22"/>
          <w:szCs w:val="22"/>
        </w:rPr>
        <w:t xml:space="preserve">Carry out regular self-assessment against the framework (see REG-04) to stay inspection-ready.</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Keep registration details current and notify changes</w:t>
            </w:r>
          </w:p>
          <w:p>
            <w:pPr>
              <w:pStyle w:val="ListParagraph"/>
              <w:numPr>
                <w:ilvl w:val="0"/>
                <w:numId w:val="4"/>
              </w:numPr>
              <w:spacing w:after="60"/>
            </w:pPr>
            <w:r>
              <w:rPr>
                <w:rFonts w:ascii="Arial" w:cs="Arial" w:eastAsia="Arial" w:hAnsi="Arial"/>
                <w:sz w:val="20"/>
                <w:szCs w:val="20"/>
              </w:rPr>
              <w:t xml:space="preserve">Maintain evidence against CQC's framework</w:t>
            </w:r>
          </w:p>
          <w:p>
            <w:pPr>
              <w:pStyle w:val="ListParagraph"/>
              <w:numPr>
                <w:ilvl w:val="0"/>
                <w:numId w:val="4"/>
              </w:numPr>
              <w:spacing w:after="60"/>
            </w:pPr>
            <w:r>
              <w:rPr>
                <w:rFonts w:ascii="Arial" w:cs="Arial" w:eastAsia="Arial" w:hAnsi="Arial"/>
                <w:sz w:val="20"/>
                <w:szCs w:val="20"/>
              </w:rPr>
              <w:t xml:space="preserve">Keep an always-ready evidence/provider information file</w:t>
            </w:r>
          </w:p>
          <w:p>
            <w:pPr>
              <w:pStyle w:val="ListParagraph"/>
              <w:numPr>
                <w:ilvl w:val="0"/>
                <w:numId w:val="4"/>
              </w:numPr>
              <w:spacing w:after="60"/>
            </w:pPr>
            <w:r>
              <w:rPr>
                <w:rFonts w:ascii="Arial" w:cs="Arial" w:eastAsia="Arial" w:hAnsi="Arial"/>
                <w:sz w:val="20"/>
                <w:szCs w:val="20"/>
              </w:rPr>
              <w:t xml:space="preserve">Make all statutory notifications</w:t>
            </w:r>
          </w:p>
          <w:p>
            <w:pPr>
              <w:pStyle w:val="ListParagraph"/>
              <w:numPr>
                <w:ilvl w:val="0"/>
                <w:numId w:val="4"/>
              </w:numPr>
              <w:spacing w:after="60"/>
            </w:pPr>
            <w:r>
              <w:rPr>
                <w:rFonts w:ascii="Arial" w:cs="Arial" w:eastAsia="Arial" w:hAnsi="Arial"/>
                <w:sz w:val="20"/>
                <w:szCs w:val="20"/>
              </w:rPr>
              <w:t xml:space="preserve">Act on inspection findings with a dated plan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operate outside your conditions of registration</w:t>
            </w:r>
          </w:p>
          <w:p>
            <w:pPr>
              <w:pStyle w:val="ListParagraph"/>
              <w:numPr>
                <w:ilvl w:val="0"/>
                <w:numId w:val="5"/>
              </w:numPr>
              <w:spacing w:after="60"/>
            </w:pPr>
            <w:r>
              <w:rPr>
                <w:rFonts w:ascii="Arial" w:cs="Arial" w:eastAsia="Arial" w:hAnsi="Arial"/>
                <w:sz w:val="20"/>
                <w:szCs w:val="20"/>
              </w:rPr>
              <w:t xml:space="preserve">Do NOT delay notifying a change of manager/provider</w:t>
            </w:r>
          </w:p>
          <w:p>
            <w:pPr>
              <w:pStyle w:val="ListParagraph"/>
              <w:numPr>
                <w:ilvl w:val="0"/>
                <w:numId w:val="5"/>
              </w:numPr>
              <w:spacing w:after="60"/>
            </w:pPr>
            <w:r>
              <w:rPr>
                <w:rFonts w:ascii="Arial" w:cs="Arial" w:eastAsia="Arial" w:hAnsi="Arial"/>
                <w:sz w:val="20"/>
                <w:szCs w:val="20"/>
              </w:rPr>
              <w:t xml:space="preserve">Do NOT wait for inspection to gather evidence</w:t>
            </w:r>
          </w:p>
          <w:p>
            <w:pPr>
              <w:pStyle w:val="ListParagraph"/>
              <w:numPr>
                <w:ilvl w:val="0"/>
                <w:numId w:val="5"/>
              </w:numPr>
              <w:spacing w:after="60"/>
            </w:pPr>
            <w:r>
              <w:rPr>
                <w:rFonts w:ascii="Arial" w:cs="Arial" w:eastAsia="Arial" w:hAnsi="Arial"/>
                <w:sz w:val="20"/>
                <w:szCs w:val="20"/>
              </w:rPr>
              <w:t xml:space="preserve">Do NOT ignore requirements or enforcement actions</w:t>
            </w:r>
          </w:p>
          <w:p>
            <w:pPr>
              <w:pStyle w:val="ListParagraph"/>
              <w:numPr>
                <w:ilvl w:val="0"/>
                <w:numId w:val="5"/>
              </w:numPr>
              <w:spacing w:after="60"/>
            </w:pPr>
            <w:r>
              <w:rPr>
                <w:rFonts w:ascii="Arial" w:cs="Arial" w:eastAsia="Arial" w:hAnsi="Arial"/>
                <w:sz w:val="20"/>
                <w:szCs w:val="20"/>
              </w:rPr>
              <w:t xml:space="preserve">Do NOT let the registered manager post sit vacant unaddressed</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Registered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Nominated individual / provider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CQC</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03000 616161 / www.cqc.org.uk</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CQC inspector (if known)</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______________</w:t>
            </w:r>
          </w:p>
        </w:tc>
      </w:tr>
    </w:tbl>
    <w:p>
      <w:pPr>
        <w:spacing w:after="120"/>
      </w:pPr>
      <w:r>
        <w:t xml:space="preserve"/>
      </w:r>
    </w:p>
    <w:p>
      <w:pPr>
        <w:pStyle w:val="Heading1"/>
      </w:pPr>
      <w:r>
        <w:t xml:space="preserve">6. Recording</w:t>
      </w:r>
    </w:p>
    <w:p>
      <w:pPr>
        <w:pBdr>
          <w:top w:val="single" w:sz="4" w:space="4" w:color="CDD9C2"/>
          <w:left w:val="single" w:sz="18" w:space="6" w:color="6F8B5F"/>
          <w:bottom w:val="single" w:sz="4" w:space="4" w:color="CDD9C2"/>
          <w:right w:val="single" w:sz="4" w:space="4" w:color="CDD9C2"/>
        </w:pBdr>
        <w:shd w:val="clear" w:color="auto" w:fill="E9EFE3"/>
        <w:spacing w:before="120" w:after="120"/>
      </w:pPr>
      <w:r>
        <w:rPr>
          <w:b/>
          <w:color w:val="4F6A43"/>
          <w:sz w:val="20"/>
        </w:rPr>
        <w:t xml:space="preserve">Where to record this: use the CQC Notifications Log (in Forms &amp; Logs) for statutory notifications.</w:t>
      </w:r>
    </w:p>
    <w:p>
      <w:pPr>
        <w:spacing w:after="120"/>
      </w:pPr>
      <w:r>
        <w:rPr>
          <w:rFonts w:ascii="Arial" w:cs="Arial" w:eastAsia="Arial" w:hAnsi="Arial"/>
          <w:sz w:val="22"/>
          <w:szCs w:val="22"/>
        </w:rPr>
        <w:t xml:space="preserve">Keep registration certificates, notification logs, the evidence/provider information file and inspection correspondence. These underpin lawful operation and the 'Well-led' assessment.</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CQC notifications SOP (SG-02)</w:t>
      </w:r>
    </w:p>
    <w:p>
      <w:pPr>
        <w:pStyle w:val="ListParagraph"/>
        <w:numPr>
          <w:ilvl w:val="0"/>
          <w:numId w:val="2"/>
        </w:numPr>
        <w:spacing w:after="60"/>
      </w:pPr>
      <w:r>
        <w:rPr>
          <w:rFonts w:ascii="Arial" w:cs="Arial" w:eastAsia="Arial" w:hAnsi="Arial"/>
          <w:sz w:val="22"/>
          <w:szCs w:val="22"/>
        </w:rPr>
        <w:t xml:space="preserve">Quality audits SOP (REG-04)</w:t>
      </w:r>
    </w:p>
    <w:p>
      <w:pPr>
        <w:pStyle w:val="ListParagraph"/>
        <w:numPr>
          <w:ilvl w:val="0"/>
          <w:numId w:val="2"/>
        </w:numPr>
        <w:spacing w:after="60"/>
      </w:pPr>
      <w:r>
        <w:rPr>
          <w:rFonts w:ascii="Arial" w:cs="Arial" w:eastAsia="Arial" w:hAnsi="Arial"/>
          <w:sz w:val="22"/>
          <w:szCs w:val="22"/>
        </w:rPr>
        <w:t xml:space="preserve">All SOPs (evidence base)</w:t>
      </w:r>
    </w:p>
    <w:p>
      <w:pPr>
        <w:pStyle w:val="Heading1"/>
      </w:pPr>
      <w:r>
        <w:t xml:space="preserve">8. Manager review checklist</w:t>
      </w:r>
    </w:p>
    <w:p>
      <w:pPr>
        <w:spacing w:after="120"/>
      </w:pPr>
      <w:r>
        <w:rPr>
          <w:rFonts w:ascii="Arial" w:cs="Arial" w:eastAsia="Arial" w:hAnsi="Arial"/>
          <w:sz w:val="22"/>
          <w:szCs w:val="22"/>
        </w:rPr>
        <w:t xml:space="preserve">Confirm: registration certificate and conditions are on file; the evidence file is maintained; notification routes are clear; self-assessment runs regularly.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CQC Registration &amp;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2026-06-24T16:08:22.064Z</dcterms:created>
  <dcterms:modified xsi:type="dcterms:W3CDTF">2026-06-24T16:08:22.064Z</dcterms:modified>
</cp:coreProperties>
</file>

<file path=docProps/custom.xml><?xml version="1.0" encoding="utf-8"?>
<Properties xmlns="http://schemas.openxmlformats.org/officeDocument/2006/custom-properties" xmlns:vt="http://schemas.openxmlformats.org/officeDocument/2006/docPropsVTypes"/>
</file>