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4F6A43"/>
          <w:sz w:val="36"/>
          <w:szCs w:val="36"/>
        </w:rPr>
        <w:t xml:space="preserve">Birkdale Village Care Home</w:t>
      </w:r>
    </w:p>
    <w:p>
      <w:pPr>
        <w:spacing w:after="60"/>
      </w:pPr>
      <w:r>
        <w:rPr>
          <w:rFonts w:ascii="Calibri" w:cs="Calibri" w:eastAsia="Calibri" w:hAnsi="Calibri"/>
          <w:b/>
          <w:bCs/>
          <w:color w:val="2C3338"/>
          <w:sz w:val="26"/>
          <w:szCs w:val="26"/>
        </w:rPr>
        <w:t xml:space="preserve">Home Dependency Tool — how we staff safely</w:t>
      </w:r>
    </w:p>
    <w:p>
      <w:pPr>
        <w:spacing w:after="200"/>
      </w:pPr>
      <w:r>
        <w:rPr>
          <w:rFonts w:ascii="Calibri" w:cs="Calibri" w:eastAsia="Calibri" w:hAnsi="Calibri"/>
          <w:i/>
          <w:iCs/>
          <w:color w:val="6B7280"/>
          <w:sz w:val="20"/>
          <w:szCs w:val="20"/>
        </w:rPr>
        <w:t xml:space="preserve">A plain guide for the manager, staff and CQC · Review monthly</w:t>
      </w:r>
    </w:p>
    <w:tbl>
      <w:tblPr>
        <w:tblW w:type="dxa" w:w="9360"/>
        <w:tblBorders>
          <w:top w:val="none"/>
          <w:left w:val="single" w:color="4F6A43" w:sz="18"/>
          <w:bottom w:val="none"/>
          <w:right w:val="none"/>
          <w:insideH w:val="none"/>
          <w:insideV w:val="none"/>
        </w:tblBorders>
      </w:tblPr>
      <w:tblGrid>
        <w:gridCol w:w="9360"/>
      </w:tblGrid>
      <w:tr>
        <w:tc>
          <w:tcPr>
            <w:shd w:fill="E9EFE3" w:val="clear"/>
            <w:tcMar>
              <w:top w:type="dxa" w:w="120"/>
              <w:left w:type="dxa" w:w="160"/>
              <w:bottom w:type="dxa" w:w="120"/>
              <w:right w:type="dxa" w:w="160"/>
            </w:tcMar>
          </w:tcPr>
          <w:p>
            <w:r>
              <w:rPr>
                <w:rFonts w:ascii="Calibri" w:cs="Calibri" w:eastAsia="Calibri" w:hAnsi="Calibri"/>
                <w:b/>
                <w:bCs/>
                <w:color w:val="3F5469"/>
                <w:sz w:val="22"/>
                <w:szCs w:val="22"/>
              </w:rPr>
              <w:t xml:space="preserve">In one line: we score how much help each resident needs, add it up, and use that to decide and evidence how many staff we put on. It's the answer to an inspector asking "why do you have this many staff on today?"</w:t>
            </w:r>
          </w:p>
        </w:tc>
      </w:tr>
    </w:tbl>
    <w:p>
      <w:pPr>
        <w:spacing w:after="120"/>
      </w:pPr>
      <w:r>
        <w:rPr>
          <w:rFonts w:ascii="Calibri" w:cs="Calibri" w:eastAsia="Calibri" w:hAnsi="Calibri"/>
          <w:color w:val="2C3338"/>
          <w:sz w:val="22"/>
          <w:szCs w:val="22"/>
        </w:rPr>
        <w:t xml:space="preserve"/>
      </w:r>
    </w:p>
    <w:p>
      <w:pPr>
        <w:spacing w:after="120" w:before="240"/>
      </w:pPr>
      <w:r>
        <w:rPr>
          <w:rFonts w:ascii="Calibri" w:cs="Calibri" w:eastAsia="Calibri" w:hAnsi="Calibri"/>
          <w:b/>
          <w:bCs/>
          <w:color w:val="4F6A43"/>
          <w:sz w:val="28"/>
          <w:szCs w:val="28"/>
        </w:rPr>
        <w:t xml:space="preserve">Why we have this tool</w:t>
      </w:r>
    </w:p>
    <w:p>
      <w:pPr>
        <w:spacing w:after="120"/>
      </w:pPr>
      <w:r>
        <w:rPr>
          <w:rFonts w:ascii="Calibri" w:cs="Calibri" w:eastAsia="Calibri" w:hAnsi="Calibri"/>
          <w:color w:val="2C3338"/>
          <w:sz w:val="22"/>
          <w:szCs w:val="22"/>
        </w:rPr>
        <w:t xml:space="preserve">CQC does not set a fixed number of staff per resident. Instead, it expects us to show that our staffing is based on residents' actual needs — their dependency — and not just on how many beds are filled. This tool is our documented method for doing that. Using a simple in-house tool like this is perfectly acceptable; we do not have to buy a branded product.</w:t>
      </w:r>
    </w:p>
    <w:p>
      <w:pPr>
        <w:spacing w:after="120" w:before="240"/>
      </w:pPr>
      <w:r>
        <w:rPr>
          <w:rFonts w:ascii="Calibri" w:cs="Calibri" w:eastAsia="Calibri" w:hAnsi="Calibri"/>
          <w:b/>
          <w:bCs/>
          <w:color w:val="4F6A43"/>
          <w:sz w:val="28"/>
          <w:szCs w:val="28"/>
        </w:rPr>
        <w:t xml:space="preserve">How it works, step by step</w:t>
      </w:r>
    </w:p>
    <w:p>
      <w:pPr>
        <w:pStyle w:val="ListParagraph"/>
        <w:numPr>
          <w:ilvl w:val="0"/>
          <w:numId w:val="1"/>
        </w:numPr>
        <w:spacing w:after="80"/>
      </w:pPr>
      <w:r>
        <w:rPr>
          <w:rFonts w:ascii="Calibri" w:cs="Calibri" w:eastAsia="Calibri" w:hAnsi="Calibri"/>
          <w:b w:val="false"/>
          <w:bCs w:val="false"/>
          <w:color w:val="2C3338"/>
          <w:sz w:val="22"/>
          <w:szCs w:val="22"/>
        </w:rPr>
        <w:t xml:space="preserve">Open the Excel file "Home Dependency Tool" (it's in the intranet under Staffing &amp; CQC).</w:t>
      </w:r>
    </w:p>
    <w:p>
      <w:pPr>
        <w:pStyle w:val="ListParagraph"/>
        <w:numPr>
          <w:ilvl w:val="0"/>
          <w:numId w:val="1"/>
        </w:numPr>
        <w:spacing w:after="80"/>
      </w:pPr>
      <w:r>
        <w:rPr>
          <w:rFonts w:ascii="Calibri" w:cs="Calibri" w:eastAsia="Calibri" w:hAnsi="Calibri"/>
          <w:b w:val="false"/>
          <w:bCs w:val="false"/>
          <w:color w:val="2C3338"/>
          <w:sz w:val="22"/>
          <w:szCs w:val="22"/>
        </w:rPr>
        <w:t xml:space="preserve">On the "Dependency Tool" tab, put the date and how many care staff are on shift today.</w:t>
      </w:r>
    </w:p>
    <w:p>
      <w:pPr>
        <w:pStyle w:val="ListParagraph"/>
        <w:numPr>
          <w:ilvl w:val="0"/>
          <w:numId w:val="1"/>
        </w:numPr>
        <w:spacing w:after="80"/>
      </w:pPr>
      <w:r>
        <w:rPr>
          <w:rFonts w:ascii="Calibri" w:cs="Calibri" w:eastAsia="Calibri" w:hAnsi="Calibri"/>
          <w:b w:val="false"/>
          <w:bCs w:val="false"/>
          <w:color w:val="2C3338"/>
          <w:sz w:val="22"/>
          <w:szCs w:val="22"/>
        </w:rPr>
        <w:t xml:space="preserve">For each resident, choose a score of 0–3 in each care column (0 = independent, 3 = full help / two staff). The "Scoring guide" tab explains each score.</w:t>
      </w:r>
    </w:p>
    <w:p>
      <w:pPr>
        <w:pStyle w:val="ListParagraph"/>
        <w:numPr>
          <w:ilvl w:val="0"/>
          <w:numId w:val="1"/>
        </w:numPr>
        <w:spacing w:after="80"/>
      </w:pPr>
      <w:r>
        <w:rPr>
          <w:rFonts w:ascii="Calibri" w:cs="Calibri" w:eastAsia="Calibri" w:hAnsi="Calibri"/>
          <w:b w:val="false"/>
          <w:bCs w:val="false"/>
          <w:color w:val="2C3338"/>
          <w:sz w:val="22"/>
          <w:szCs w:val="22"/>
        </w:rPr>
        <w:t xml:space="preserve">Add any one-to-one hours a resident needs.</w:t>
      </w:r>
    </w:p>
    <w:p>
      <w:pPr>
        <w:pStyle w:val="ListParagraph"/>
        <w:numPr>
          <w:ilvl w:val="0"/>
          <w:numId w:val="1"/>
        </w:numPr>
        <w:spacing w:after="80"/>
      </w:pPr>
      <w:r>
        <w:rPr>
          <w:rFonts w:ascii="Calibri" w:cs="Calibri" w:eastAsia="Calibri" w:hAnsi="Calibri"/>
          <w:b w:val="false"/>
          <w:bCs w:val="false"/>
          <w:color w:val="2C3338"/>
          <w:sz w:val="22"/>
          <w:szCs w:val="22"/>
        </w:rPr>
        <w:t xml:space="preserve">The tool then works out each resident's band (Low, Medium, High, Very High), the total care hours needed for the day, and a suggested number of day staff.</w:t>
      </w:r>
    </w:p>
    <w:p>
      <w:pPr>
        <w:spacing w:after="120" w:before="240"/>
      </w:pPr>
      <w:r>
        <w:rPr>
          <w:rFonts w:ascii="Calibri" w:cs="Calibri" w:eastAsia="Calibri" w:hAnsi="Calibri"/>
          <w:b/>
          <w:bCs/>
          <w:color w:val="4F6A43"/>
          <w:sz w:val="28"/>
          <w:szCs w:val="28"/>
        </w:rPr>
        <w:t xml:space="preserve">Reading the result</w:t>
      </w:r>
    </w:p>
    <w:p>
      <w:pPr>
        <w:spacing w:after="120"/>
      </w:pPr>
      <w:r>
        <w:rPr>
          <w:rFonts w:ascii="Calibri" w:cs="Calibri" w:eastAsia="Calibri" w:hAnsi="Calibri"/>
          <w:color w:val="2C3338"/>
          <w:sz w:val="22"/>
          <w:szCs w:val="22"/>
        </w:rPr>
        <w:t xml:space="preserve">Compare the suggested day staff with how many you actually had on. They won't always match exactly, and that's fine — your professional judgement decides the final number. What matters is that you can explain any difference. Use the notes box to record anything that affected the day: the layout of the home, a resident who was unwell, an activity, or night cover. That note is part of the evidence.</w:t>
      </w:r>
    </w:p>
    <w:tbl>
      <w:tblPr>
        <w:tblW w:type="dxa" w:w="9360"/>
        <w:tblBorders>
          <w:top w:val="none"/>
          <w:left w:val="single" w:color="4F6A43" w:sz="18"/>
          <w:bottom w:val="none"/>
          <w:right w:val="none"/>
          <w:insideH w:val="none"/>
          <w:insideV w:val="none"/>
        </w:tblBorders>
      </w:tblPr>
      <w:tblGrid>
        <w:gridCol w:w="9360"/>
      </w:tblGrid>
      <w:tr>
        <w:tc>
          <w:tcPr>
            <w:shd w:fill="F6ECD9" w:val="clear"/>
            <w:tcMar>
              <w:top w:type="dxa" w:w="120"/>
              <w:left w:type="dxa" w:w="160"/>
              <w:bottom w:type="dxa" w:w="120"/>
              <w:right w:type="dxa" w:w="160"/>
            </w:tcMar>
          </w:tcPr>
          <w:p>
            <w:r>
              <w:rPr>
                <w:rFonts w:ascii="Calibri" w:cs="Calibri" w:eastAsia="Calibri" w:hAnsi="Calibri"/>
                <w:b/>
                <w:bCs/>
                <w:color w:val="8A5A1C"/>
                <w:sz w:val="22"/>
                <w:szCs w:val="22"/>
              </w:rPr>
              <w:t xml:space="preserve">Having the tool is not enough on its own — it has to be used consistently and staff must understand it. Keep it simple, fill it in the same way each time, and review it every month.</w:t>
            </w:r>
          </w:p>
        </w:tc>
      </w:tr>
    </w:tbl>
    <w:p>
      <w:pPr>
        <w:spacing w:after="120"/>
      </w:pPr>
      <w:r>
        <w:rPr>
          <w:rFonts w:ascii="Calibri" w:cs="Calibri" w:eastAsia="Calibri" w:hAnsi="Calibri"/>
          <w:color w:val="2C3338"/>
          <w:sz w:val="22"/>
          <w:szCs w:val="22"/>
        </w:rPr>
        <w:t xml:space="preserve"/>
      </w:r>
    </w:p>
    <w:p>
      <w:pPr>
        <w:spacing w:after="120" w:before="240"/>
      </w:pPr>
      <w:r>
        <w:rPr>
          <w:rFonts w:ascii="Calibri" w:cs="Calibri" w:eastAsia="Calibri" w:hAnsi="Calibri"/>
          <w:b/>
          <w:bCs/>
          <w:color w:val="4F6A43"/>
          <w:sz w:val="28"/>
          <w:szCs w:val="28"/>
        </w:rPr>
        <w:t xml:space="preserve">When to update it</w:t>
      </w:r>
    </w:p>
    <w:p>
      <w:pPr>
        <w:pStyle w:val="ListParagraph"/>
        <w:numPr>
          <w:ilvl w:val="0"/>
          <w:numId w:val="1"/>
        </w:numPr>
        <w:spacing w:after="80"/>
      </w:pPr>
      <w:r>
        <w:rPr>
          <w:rFonts w:ascii="Calibri" w:cs="Calibri" w:eastAsia="Calibri" w:hAnsi="Calibri"/>
          <w:b w:val="false"/>
          <w:bCs w:val="false"/>
          <w:color w:val="2C3338"/>
          <w:sz w:val="22"/>
          <w:szCs w:val="22"/>
        </w:rPr>
        <w:t xml:space="preserve">Every month as a routine review.</w:t>
      </w:r>
    </w:p>
    <w:p>
      <w:pPr>
        <w:pStyle w:val="ListParagraph"/>
        <w:numPr>
          <w:ilvl w:val="0"/>
          <w:numId w:val="1"/>
        </w:numPr>
        <w:spacing w:after="80"/>
      </w:pPr>
      <w:r>
        <w:rPr>
          <w:rFonts w:ascii="Calibri" w:cs="Calibri" w:eastAsia="Calibri" w:hAnsi="Calibri"/>
          <w:b w:val="false"/>
          <w:bCs w:val="false"/>
          <w:color w:val="2C3338"/>
          <w:sz w:val="22"/>
          <w:szCs w:val="22"/>
        </w:rPr>
        <w:t xml:space="preserve">Whenever a resident's needs change noticeably.</w:t>
      </w:r>
    </w:p>
    <w:p>
      <w:pPr>
        <w:pStyle w:val="ListParagraph"/>
        <w:numPr>
          <w:ilvl w:val="0"/>
          <w:numId w:val="1"/>
        </w:numPr>
        <w:spacing w:after="80"/>
      </w:pPr>
      <w:r>
        <w:rPr>
          <w:rFonts w:ascii="Calibri" w:cs="Calibri" w:eastAsia="Calibri" w:hAnsi="Calibri"/>
          <w:b w:val="false"/>
          <w:bCs w:val="false"/>
          <w:color w:val="2C3338"/>
          <w:sz w:val="22"/>
          <w:szCs w:val="22"/>
        </w:rPr>
        <w:t xml:space="preserve">When someone new is admitted or a resident leaves.</w:t>
      </w:r>
    </w:p>
    <w:p>
      <w:pPr>
        <w:pStyle w:val="ListParagraph"/>
        <w:numPr>
          <w:ilvl w:val="0"/>
          <w:numId w:val="1"/>
        </w:numPr>
        <w:spacing w:after="80"/>
      </w:pPr>
      <w:r>
        <w:rPr>
          <w:rFonts w:ascii="Calibri" w:cs="Calibri" w:eastAsia="Calibri" w:hAnsi="Calibri"/>
          <w:b w:val="false"/>
          <w:bCs w:val="false"/>
          <w:color w:val="2C3338"/>
          <w:sz w:val="22"/>
          <w:szCs w:val="22"/>
        </w:rPr>
        <w:t xml:space="preserve">After any staffing-related incident, so the record reflects reality.</w:t>
      </w:r>
    </w:p>
    <w:p>
      <w:pPr>
        <w:spacing w:after="120" w:before="240"/>
      </w:pPr>
      <w:r>
        <w:rPr>
          <w:rFonts w:ascii="Calibri" w:cs="Calibri" w:eastAsia="Calibri" w:hAnsi="Calibri"/>
          <w:b/>
          <w:bCs/>
          <w:color w:val="4F6A43"/>
          <w:sz w:val="28"/>
          <w:szCs w:val="28"/>
        </w:rPr>
        <w:t xml:space="preserve">Keeping the evidence</w:t>
      </w:r>
    </w:p>
    <w:p>
      <w:pPr>
        <w:spacing w:after="120"/>
      </w:pPr>
      <w:r>
        <w:rPr>
          <w:rFonts w:ascii="Calibri" w:cs="Calibri" w:eastAsia="Calibri" w:hAnsi="Calibri"/>
          <w:color w:val="2C3338"/>
          <w:sz w:val="22"/>
          <w:szCs w:val="22"/>
        </w:rPr>
        <w:t xml:space="preserve">Save a dated copy each month (for example "Dependency Tool — June 2026") and keep them together. At inspection you can then show not just today's position but the history — that we review staffing regularly and adjust it as needs change. Keep this alongside the rota; together they are our safe-staffing evidence under Regulation 18.</w:t>
      </w:r>
    </w:p>
    <w:p>
      <w:pPr>
        <w:spacing w:before="280"/>
      </w:pPr>
      <w:r>
        <w:rPr>
          <w:rFonts w:ascii="Calibri" w:cs="Calibri" w:eastAsia="Calibri" w:hAnsi="Calibri"/>
          <w:i/>
          <w:iCs/>
          <w:color w:val="6B7280"/>
          <w:sz w:val="18"/>
          <w:szCs w:val="18"/>
        </w:rPr>
        <w:t xml:space="preserve">SBS-Services Limited, trading as Birkdale Village Care Home · 20 Crescent Road, Birkdale, Southport PR8 4SR · Internal use only</w:t>
      </w: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C3338"/>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2026-07-01T09:11:23.242Z</dcterms:created>
  <dcterms:modified xsi:type="dcterms:W3CDTF">2026-07-01T09:11:23.242Z</dcterms:modified>
</cp:coreProperties>
</file>

<file path=docProps/custom.xml><?xml version="1.0" encoding="utf-8"?>
<Properties xmlns="http://schemas.openxmlformats.org/officeDocument/2006/custom-properties" xmlns:vt="http://schemas.openxmlformats.org/officeDocument/2006/docPropsVTypes"/>
</file>