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1A237E"/>
          <w:sz w:val="44"/>
          <w:szCs w:val="44"/>
        </w:rPr>
        <w:t xml:space="preserve">BIRKDALE VILLAGE CARE HOME</w:t>
      </w:r>
    </w:p>
    <w:p>
      <w:pPr>
        <w:spacing w:after="80"/>
        <w:jc w:val="center"/>
      </w:pPr>
      <w:r>
        <w:rPr>
          <w:rFonts w:ascii="Arial" w:cs="Arial" w:eastAsia="Arial" w:hAnsi="Arial"/>
          <w:b/>
          <w:bCs/>
          <w:color w:val="283593"/>
          <w:sz w:val="32"/>
          <w:szCs w:val="32"/>
        </w:rPr>
        <w:t xml:space="preserve">Subject Access Request (SAR) Procedure</w:t>
      </w:r>
    </w:p>
    <w:p>
      <w:pPr>
        <w:spacing w:after="300"/>
        <w:jc w:val="center"/>
      </w:pPr>
      <w:r>
        <w:rPr>
          <w:rFonts w:ascii="Arial" w:cs="Arial" w:eastAsia="Arial" w:hAnsi="Arial"/>
          <w:color w:val="666666"/>
          <w:sz w:val="21"/>
          <w:szCs w:val="21"/>
        </w:rPr>
        <w:t xml:space="preserve">Document 7 of the Portal Data Protection Pack  ·  Version 1.0 — 3 June 2026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Data Controller</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SBS-Services Limited (Company No. 05991566)</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Registered office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60 Murray Crescent, Pinner, HA5 3QE</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Trading as</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Birkdale Village Care Home, 20 Crescent Road, Southport, PR8 4SR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Data Protection Lead</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Hinesh Patel, Director</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Registered Manager</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Andrea Tomkins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ICO Registration</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ZA400710</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Contact for data matters</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admin@birkdalevillagecarehome.co.uk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Applies to</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The Birkdale Village Care Home in-house digital Portal</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Last updated</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3 June 2026</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Next review</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2027 (annually or on significant change)</w:t>
            </w:r>
          </w:p>
        </w:tc>
      </w:tr>
    </w:tbl>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6CC" w:val="clear"/>
            <w:tcMar>
              <w:top w:type="dxa" w:w="140"/>
              <w:left w:type="dxa" w:w="180"/>
              <w:bottom w:type="dxa" w:w="140"/>
              <w:right w:type="dxa" w:w="180"/>
            </w:tcMar>
          </w:tcPr>
          <w:p>
            <w:r>
              <w:rPr>
                <w:rFonts w:ascii="Arial" w:cs="Arial" w:eastAsia="Arial" w:hAnsi="Arial"/>
                <w:b/>
                <w:bCs/>
                <w:color w:val="7A5C00"/>
                <w:sz w:val="22"/>
                <w:szCs w:val="22"/>
              </w:rPr>
              <w:t xml:space="preserve">PURPOSE:  </w:t>
            </w:r>
            <w:r>
              <w:rPr>
                <w:rFonts w:ascii="Arial" w:cs="Arial" w:eastAsia="Arial" w:hAnsi="Arial"/>
                <w:color w:val="7A5C00"/>
                <w:sz w:val="22"/>
                <w:szCs w:val="22"/>
              </w:rPr>
              <w:t xml:space="preserve">This procedure sets out how we handle a request from someone to see the personal information we hold about them (a Subject Access Request), and how we handle data-protection complaints — as required by the UK GDPR and the Data Protection Act 2018.</w:t>
            </w:r>
          </w:p>
        </w:tc>
      </w:tr>
    </w:tbl>
    <w:p>
      <w:r>
        <w:br w:type="page"/>
      </w:r>
    </w:p>
    <w:p>
      <w:pPr>
        <w:pStyle w:val="Heading1"/>
        <w:spacing w:after="140" w:before="320"/>
      </w:pPr>
      <w:r>
        <w:rPr>
          <w:rFonts w:ascii="Arial" w:cs="Arial" w:eastAsia="Arial" w:hAnsi="Arial"/>
          <w:b/>
          <w:bCs/>
          <w:color w:val="1A237E"/>
          <w:sz w:val="30"/>
          <w:szCs w:val="30"/>
        </w:rPr>
        <w:t xml:space="preserve">1.  What is a Subject Access Request?</w:t>
      </w:r>
    </w:p>
    <w:p>
      <w:pPr>
        <w:spacing w:after="100" w:before="60"/>
      </w:pPr>
      <w:r>
        <w:rPr>
          <w:rFonts w:ascii="Arial" w:cs="Arial" w:eastAsia="Arial" w:hAnsi="Arial"/>
          <w:b w:val="false"/>
          <w:bCs w:val="false"/>
          <w:i w:val="false"/>
          <w:iCs w:val="false"/>
          <w:color w:val="000000"/>
          <w:sz w:val="22"/>
          <w:szCs w:val="22"/>
        </w:rPr>
        <w:t xml:space="preserve">Any individual (a resident, family member with authority, member of staff or job applicant) has the right to ask for a copy of the personal information we hold about them. This is called a Subject Access Request, or SAR. A request can be made verbally or in writing, to any member of staff.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E2F0D9" w:val="clear"/>
            <w:tcMar>
              <w:top w:type="dxa" w:w="140"/>
              <w:left w:type="dxa" w:w="180"/>
              <w:bottom w:type="dxa" w:w="140"/>
              <w:right w:type="dxa" w:w="180"/>
            </w:tcMar>
          </w:tcPr>
          <w:p>
            <w:r>
              <w:rPr>
                <w:rFonts w:ascii="Arial" w:cs="Arial" w:eastAsia="Arial" w:hAnsi="Arial"/>
                <w:color w:val="000000"/>
                <w:sz w:val="22"/>
                <w:szCs w:val="22"/>
              </w:rPr>
              <w:t xml:space="preserve">Key rule: we must respond to a SAR within ONE MONTH of receiving it (this can be extended by up to two further months for complex requests, but we must tell the person within the first month if so).</w:t>
            </w:r>
          </w:p>
        </w:tc>
      </w:tr>
    </w:tbl>
    <w:p>
      <w:pPr>
        <w:pStyle w:val="Heading1"/>
        <w:spacing w:after="140" w:before="320"/>
      </w:pPr>
      <w:r>
        <w:rPr>
          <w:rFonts w:ascii="Arial" w:cs="Arial" w:eastAsia="Arial" w:hAnsi="Arial"/>
          <w:b/>
          <w:bCs/>
          <w:color w:val="1A237E"/>
          <w:sz w:val="30"/>
          <w:szCs w:val="30"/>
        </w:rPr>
        <w:t xml:space="preserve">2.  How staff should handle a request</w:t>
      </w:r>
    </w:p>
    <w:p>
      <w:pPr>
        <w:spacing w:after="100" w:before="60"/>
      </w:pPr>
      <w:r>
        <w:rPr>
          <w:rFonts w:ascii="Arial" w:cs="Arial" w:eastAsia="Arial" w:hAnsi="Arial"/>
          <w:b w:val="false"/>
          <w:bCs w:val="false"/>
          <w:i w:val="false"/>
          <w:iCs w:val="false"/>
          <w:color w:val="000000"/>
          <w:sz w:val="22"/>
          <w:szCs w:val="22"/>
        </w:rPr>
        <w:t xml:space="preserve">If anyone asks to see their information, or you think they are making a SAR:</w:t>
      </w:r>
    </w:p>
    <w:p>
      <w:pPr>
        <w:pStyle w:val="ListParagraph"/>
        <w:numPr>
          <w:ilvl w:val="0"/>
          <w:numId w:val="2"/>
        </w:numPr>
        <w:spacing w:after="50" w:before="40"/>
      </w:pPr>
      <w:r>
        <w:rPr>
          <w:rFonts w:ascii="Arial" w:cs="Arial" w:eastAsia="Arial" w:hAnsi="Arial"/>
          <w:sz w:val="22"/>
          <w:szCs w:val="22"/>
        </w:rPr>
        <w:t xml:space="preserve">Do not refuse or delay it. Recognise it as a SAR even if they don’t use those words.</w:t>
      </w:r>
    </w:p>
    <w:p>
      <w:pPr>
        <w:pStyle w:val="ListParagraph"/>
        <w:numPr>
          <w:ilvl w:val="0"/>
          <w:numId w:val="2"/>
        </w:numPr>
        <w:spacing w:after="50" w:before="40"/>
      </w:pPr>
      <w:r>
        <w:rPr>
          <w:rFonts w:ascii="Arial" w:cs="Arial" w:eastAsia="Arial" w:hAnsi="Arial"/>
          <w:sz w:val="22"/>
          <w:szCs w:val="22"/>
        </w:rPr>
        <w:t xml:space="preserve">Pass it to the Data Protection Lead (Hinesh Patel) / Registered Manager immediately — the clock starts the day the request is received.</w:t>
      </w:r>
    </w:p>
    <w:p>
      <w:pPr>
        <w:pStyle w:val="ListParagraph"/>
        <w:numPr>
          <w:ilvl w:val="0"/>
          <w:numId w:val="2"/>
        </w:numPr>
        <w:spacing w:after="50" w:before="40"/>
      </w:pPr>
      <w:r>
        <w:rPr>
          <w:rFonts w:ascii="Arial" w:cs="Arial" w:eastAsia="Arial" w:hAnsi="Arial"/>
          <w:sz w:val="22"/>
          <w:szCs w:val="22"/>
        </w:rPr>
        <w:t xml:space="preserve">Record the date it was received.</w:t>
      </w:r>
    </w:p>
    <w:p>
      <w:pPr>
        <w:pStyle w:val="Heading1"/>
        <w:spacing w:after="140" w:before="320"/>
      </w:pPr>
      <w:r>
        <w:rPr>
          <w:rFonts w:ascii="Arial" w:cs="Arial" w:eastAsia="Arial" w:hAnsi="Arial"/>
          <w:b/>
          <w:bCs/>
          <w:color w:val="1A237E"/>
          <w:sz w:val="30"/>
          <w:szCs w:val="30"/>
        </w:rPr>
        <w:t xml:space="preserve">3.  The steps we follow</w:t>
      </w:r>
    </w:p>
    <w:p>
      <w:pPr>
        <w:pStyle w:val="ListParagraph"/>
        <w:numPr>
          <w:ilvl w:val="0"/>
          <w:numId w:val="2"/>
        </w:numPr>
        <w:spacing w:after="50" w:before="40"/>
      </w:pPr>
      <w:r>
        <w:rPr>
          <w:rFonts w:ascii="Arial" w:cs="Arial" w:eastAsia="Arial" w:hAnsi="Arial"/>
          <w:sz w:val="22"/>
          <w:szCs w:val="22"/>
        </w:rPr>
        <w:t xml:space="preserve">Log the request and the date received.</w:t>
      </w:r>
    </w:p>
    <w:p>
      <w:pPr>
        <w:pStyle w:val="ListParagraph"/>
        <w:numPr>
          <w:ilvl w:val="0"/>
          <w:numId w:val="2"/>
        </w:numPr>
        <w:spacing w:after="50" w:before="40"/>
      </w:pPr>
      <w:r>
        <w:rPr>
          <w:rFonts w:ascii="Arial" w:cs="Arial" w:eastAsia="Arial" w:hAnsi="Arial"/>
          <w:sz w:val="22"/>
          <w:szCs w:val="22"/>
        </w:rPr>
        <w:t xml:space="preserve">Verify the identity of the person making the request (and their authority, if asking on someone else’s behalf, e.g. Power of Attorney).</w:t>
      </w:r>
    </w:p>
    <w:p>
      <w:pPr>
        <w:pStyle w:val="ListParagraph"/>
        <w:numPr>
          <w:ilvl w:val="0"/>
          <w:numId w:val="2"/>
        </w:numPr>
        <w:spacing w:after="50" w:before="40"/>
      </w:pPr>
      <w:r>
        <w:rPr>
          <w:rFonts w:ascii="Arial" w:cs="Arial" w:eastAsia="Arial" w:hAnsi="Arial"/>
          <w:sz w:val="22"/>
          <w:szCs w:val="22"/>
        </w:rPr>
        <w:t xml:space="preserve">Gather all the personal data we hold about them — across the portal, PCS, paper files and emails.</w:t>
      </w:r>
    </w:p>
    <w:p>
      <w:pPr>
        <w:pStyle w:val="ListParagraph"/>
        <w:numPr>
          <w:ilvl w:val="0"/>
          <w:numId w:val="2"/>
        </w:numPr>
        <w:spacing w:after="50" w:before="40"/>
      </w:pPr>
      <w:r>
        <w:rPr>
          <w:rFonts w:ascii="Arial" w:cs="Arial" w:eastAsia="Arial" w:hAnsi="Arial"/>
          <w:sz w:val="22"/>
          <w:szCs w:val="22"/>
        </w:rPr>
        <w:t xml:space="preserve">Review it: remove or redact any information about other people (third-party data), and check for anything exempt.</w:t>
      </w:r>
    </w:p>
    <w:p>
      <w:pPr>
        <w:pStyle w:val="ListParagraph"/>
        <w:numPr>
          <w:ilvl w:val="0"/>
          <w:numId w:val="2"/>
        </w:numPr>
        <w:spacing w:after="50" w:before="40"/>
      </w:pPr>
      <w:r>
        <w:rPr>
          <w:rFonts w:ascii="Arial" w:cs="Arial" w:eastAsia="Arial" w:hAnsi="Arial"/>
          <w:sz w:val="22"/>
          <w:szCs w:val="22"/>
        </w:rPr>
        <w:t xml:space="preserve">Provide the information in a clear, accessible format, securely, within one month.</w:t>
      </w:r>
    </w:p>
    <w:p>
      <w:pPr>
        <w:pStyle w:val="ListParagraph"/>
        <w:numPr>
          <w:ilvl w:val="0"/>
          <w:numId w:val="2"/>
        </w:numPr>
        <w:spacing w:after="50" w:before="40"/>
      </w:pPr>
      <w:r>
        <w:rPr>
          <w:rFonts w:ascii="Arial" w:cs="Arial" w:eastAsia="Arial" w:hAnsi="Arial"/>
          <w:sz w:val="22"/>
          <w:szCs w:val="22"/>
        </w:rPr>
        <w:t xml:space="preserve">Record that the request was completed and the date.</w:t>
      </w:r>
    </w:p>
    <w:p>
      <w:r>
        <w:br w:type="page"/>
      </w:r>
    </w:p>
    <w:p>
      <w:pPr>
        <w:pStyle w:val="Heading1"/>
        <w:spacing w:after="140" w:before="320"/>
      </w:pPr>
      <w:r>
        <w:rPr>
          <w:rFonts w:ascii="Arial" w:cs="Arial" w:eastAsia="Arial" w:hAnsi="Arial"/>
          <w:b/>
          <w:bCs/>
          <w:color w:val="1A237E"/>
          <w:sz w:val="30"/>
          <w:szCs w:val="30"/>
        </w:rPr>
        <w:t xml:space="preserve">4.  Fees and refusals</w:t>
      </w:r>
    </w:p>
    <w:p>
      <w:pPr>
        <w:spacing w:after="100" w:before="60"/>
      </w:pPr>
      <w:r>
        <w:rPr>
          <w:rFonts w:ascii="Arial" w:cs="Arial" w:eastAsia="Arial" w:hAnsi="Arial"/>
          <w:b w:val="false"/>
          <w:bCs w:val="false"/>
          <w:i w:val="false"/>
          <w:iCs w:val="false"/>
          <w:color w:val="000000"/>
          <w:sz w:val="22"/>
          <w:szCs w:val="22"/>
        </w:rPr>
        <w:t xml:space="preserve">We provide the information free of charge. We may charge a reasonable fee, or refuse, only if a request is manifestly unfounded or excessive (for example, repetitive) — and if we refuse, we tell the person why and that they can complain to the ICO.</w:t>
      </w:r>
    </w:p>
    <w:p>
      <w:pPr>
        <w:pStyle w:val="Heading1"/>
        <w:spacing w:after="140" w:before="320"/>
      </w:pPr>
      <w:r>
        <w:rPr>
          <w:rFonts w:ascii="Arial" w:cs="Arial" w:eastAsia="Arial" w:hAnsi="Arial"/>
          <w:b/>
          <w:bCs/>
          <w:color w:val="1A237E"/>
          <w:sz w:val="30"/>
          <w:szCs w:val="30"/>
        </w:rPr>
        <w:t xml:space="preserve">5.  Data-protection complaints</w:t>
      </w:r>
    </w:p>
    <w:p>
      <w:pPr>
        <w:spacing w:after="100" w:before="60"/>
      </w:pPr>
      <w:r>
        <w:rPr>
          <w:rFonts w:ascii="Arial" w:cs="Arial" w:eastAsia="Arial" w:hAnsi="Arial"/>
          <w:b w:val="false"/>
          <w:bCs w:val="false"/>
          <w:i w:val="false"/>
          <w:iCs w:val="false"/>
          <w:color w:val="000000"/>
          <w:sz w:val="22"/>
          <w:szCs w:val="22"/>
        </w:rPr>
        <w:t xml:space="preserve">If someone is unhappy about how we have handled their personal data, they can complain to us at admin@birkdalevillagecarehome.co.uk. We will acknowledge and respond to a data-protection complaint within 30 days. If they remain unhappy, they can escalate to the Information Commissioner’s Office (ICO) at ico.org.uk or 0303 123 1113.</w:t>
      </w:r>
    </w:p>
    <w:p>
      <w:pPr>
        <w:pStyle w:val="Heading1"/>
        <w:spacing w:after="140" w:before="320"/>
      </w:pPr>
      <w:r>
        <w:rPr>
          <w:rFonts w:ascii="Arial" w:cs="Arial" w:eastAsia="Arial" w:hAnsi="Arial"/>
          <w:b/>
          <w:bCs/>
          <w:color w:val="1A237E"/>
          <w:sz w:val="30"/>
          <w:szCs w:val="30"/>
        </w:rPr>
        <w:t xml:space="preserve">6.  SAR / complaints log</w:t>
      </w:r>
    </w:p>
    <w:p>
      <w:pPr>
        <w:spacing w:after="100" w:before="60"/>
      </w:pPr>
      <w:r>
        <w:rPr>
          <w:rFonts w:ascii="Arial" w:cs="Arial" w:eastAsia="Arial" w:hAnsi="Arial"/>
          <w:b w:val="false"/>
          <w:bCs w:val="false"/>
          <w:i w:val="false"/>
          <w:iCs w:val="false"/>
          <w:color w:val="000000"/>
          <w:sz w:val="22"/>
          <w:szCs w:val="22"/>
        </w:rPr>
        <w:t xml:space="preserve">Every request and complaint is recorded here: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2400"/>
        <w:gridCol w:w="2000"/>
        <w:gridCol w:w="1513"/>
        <w:gridCol w:w="1513"/>
      </w:tblGrid>
      <w:tr>
        <w:trPr>
          <w:tblHeader/>
        </w:trPr>
        <w:tc>
          <w:tcPr>
            <w:tcW w:type="dxa" w:w="1600"/>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Date received</w:t>
            </w:r>
          </w:p>
        </w:tc>
        <w:tc>
          <w:tcPr>
            <w:tcW w:type="dxa" w:w="2400"/>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Name</w:t>
            </w:r>
          </w:p>
        </w:tc>
        <w:tc>
          <w:tcPr>
            <w:tcW w:type="dxa" w:w="2000"/>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Type (SAR / complaint)</w:t>
            </w:r>
          </w:p>
        </w:tc>
        <w:tc>
          <w:tcPr>
            <w:tcW w:type="dxa" w:w="1513"/>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Date completed</w:t>
            </w:r>
          </w:p>
        </w:tc>
        <w:tc>
          <w:tcPr>
            <w:tcW w:type="dxa" w:w="1513"/>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Outcome</w:t>
            </w:r>
          </w:p>
        </w:tc>
      </w:tr>
      <w:tr>
        <w:tc>
          <w:tcPr>
            <w:tcW w:type="dxa" w:w="16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c>
          <w:tcPr>
            <w:tcW w:type="dxa" w:w="24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c>
          <w:tcPr>
            <w:tcW w:type="dxa" w:w="2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c>
          <w:tcPr>
            <w:tcW w:type="dxa" w:w="1513"/>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c>
          <w:tcPr>
            <w:tcW w:type="dxa" w:w="1513"/>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c>
          <w:tcPr>
            <w:tcW w:type="dxa" w:w="1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c>
          <w:tcPr>
            <w:tcW w:type="dxa" w:w="1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r>
        <w:tc>
          <w:tcPr>
            <w:tcW w:type="dxa" w:w="16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c>
          <w:tcPr>
            <w:tcW w:type="dxa" w:w="24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c>
          <w:tcPr>
            <w:tcW w:type="dxa" w:w="2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c>
          <w:tcPr>
            <w:tcW w:type="dxa" w:w="1513"/>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c>
          <w:tcPr>
            <w:tcW w:type="dxa" w:w="1513"/>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c>
          <w:tcPr>
            <w:tcW w:type="dxa" w:w="1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c>
          <w:tcPr>
            <w:tcW w:type="dxa" w:w="1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bl>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rPr>
          <w:tblHeader/>
        </w:trPr>
        <w:tc>
          <w:tcPr>
            <w:tcW w:type="dxa" w:w="3008"/>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Role</w:t>
            </w:r>
          </w:p>
        </w:tc>
        <w:tc>
          <w:tcPr>
            <w:tcW w:type="dxa" w:w="3009"/>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Name</w:t>
            </w:r>
          </w:p>
        </w:tc>
        <w:tc>
          <w:tcPr>
            <w:tcW w:type="dxa" w:w="3009"/>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Signature / date</w:t>
            </w:r>
          </w:p>
        </w:tc>
      </w:tr>
      <w:tr>
        <w:tc>
          <w:tcPr>
            <w:tcW w:type="dxa" w:w="3008"/>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Data Protection Lead</w:t>
            </w:r>
          </w:p>
        </w:tc>
        <w:tc>
          <w:tcPr>
            <w:tcW w:type="dxa" w:w="3009"/>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Hinesh Patel</w:t>
            </w:r>
          </w:p>
        </w:tc>
        <w:tc>
          <w:tcPr>
            <w:tcW w:type="dxa" w:w="3009"/>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Director (co-sign)</w:t>
            </w:r>
          </w:p>
        </w:tc>
        <w:tc>
          <w:tcPr>
            <w:tcW w:type="dxa" w:w="30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Sam Balasundaram</w:t>
            </w:r>
          </w:p>
        </w:tc>
        <w:tc>
          <w:tcPr>
            <w:tcW w:type="dxa" w:w="30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6"/>
        <w:szCs w:val="16"/>
      </w:rPr>
      <w:t xml:space="preserve">SAR Procedure   |   Birkdale Village Care Home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Arial" w:cs="Arial" w:eastAsia="Arial" w:hAnsi="Arial"/>
      <w:b/>
      <w:bCs/>
      <w:color w:val="1A237E"/>
      <w:sz w:val="30"/>
      <w:szCs w:val="30"/>
    </w:rPr>
  </w:style>
  <w:style w:type="paragraph" w:styleId="Heading2">
    <w:name w:val="Heading 2"/>
    <w:basedOn w:val="Normal"/>
    <w:next w:val="Normal"/>
    <w:qFormat/>
    <w:pPr>
      <w:spacing w:after="90" w:before="220"/>
      <w:outlineLvl w:val="1"/>
    </w:pPr>
    <w:rPr>
      <w:rFonts w:ascii="Arial" w:cs="Arial" w:eastAsia="Arial" w:hAnsi="Arial"/>
      <w:b/>
      <w:bCs/>
      <w:color w:val="283593"/>
      <w:sz w:val="25"/>
      <w:szCs w:val="25"/>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2026-06-03T17:36:08.341Z</dcterms:created>
  <dcterms:modified xsi:type="dcterms:W3CDTF">2026-06-03T17:36:08.341Z</dcterms:modified>
</cp:coreProperties>
</file>

<file path=docProps/custom.xml><?xml version="1.0" encoding="utf-8"?>
<Properties xmlns="http://schemas.openxmlformats.org/officeDocument/2006/custom-properties" xmlns:vt="http://schemas.openxmlformats.org/officeDocument/2006/docPropsVTypes"/>
</file>