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A237E"/>
          <w:sz w:val="44"/>
          <w:szCs w:val="44"/>
        </w:rPr>
        <w:t xml:space="preserve">BIRKDALE VILLAGE CARE HOME</w:t>
      </w:r>
    </w:p>
    <w:p>
      <w:pPr>
        <w:spacing w:after="80"/>
        <w:jc w:val="center"/>
      </w:pPr>
      <w:r>
        <w:rPr>
          <w:rFonts w:ascii="Arial" w:cs="Arial" w:eastAsia="Arial" w:hAnsi="Arial"/>
          <w:b/>
          <w:bCs/>
          <w:color w:val="283593"/>
          <w:sz w:val="32"/>
          <w:szCs w:val="32"/>
        </w:rPr>
        <w:t xml:space="preserve">Portal Security Summary</w:t>
      </w:r>
    </w:p>
    <w:p>
      <w:pPr>
        <w:spacing w:after="300"/>
        <w:jc w:val="center"/>
      </w:pPr>
      <w:r>
        <w:rPr>
          <w:rFonts w:ascii="Arial" w:cs="Arial" w:eastAsia="Arial" w:hAnsi="Arial"/>
          <w:color w:val="666666"/>
          <w:sz w:val="21"/>
          <w:szCs w:val="21"/>
        </w:rPr>
        <w:t xml:space="preserve">Document 4 of the Portal Data Protection Pack  ·  Version 1.0 — 3 June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Data Controller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SBS-Services Limited (Company No. 05991566)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Registered office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60 Murray Crescent, Pinner, HA5 3QE</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Trading as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Birkdale Village Care Home, 20 Crescent Road, Southport, PR8 4SR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Data Protection Lead</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Hinesh Patel, Director</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Registered Manager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Andrea Tomkins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ICO Registration</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ZA400710</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Contact for data matters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admin@birkdalevillagecarehome.co.uk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Applies to</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The Birkdale Village Care Home in-house digital Portal</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Last updated</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3 June 2026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Next review</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2027 (annually or on significant change)</w:t>
            </w:r>
          </w:p>
        </w:tc>
      </w:tr>
    </w:tbl>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6CC" w:val="clear"/>
            <w:tcMar>
              <w:top w:type="dxa" w:w="140"/>
              <w:left w:type="dxa" w:w="180"/>
              <w:bottom w:type="dxa" w:w="140"/>
              <w:right w:type="dxa" w:w="180"/>
            </w:tcMar>
          </w:tcPr>
          <w:p>
            <w:r>
              <w:rPr>
                <w:rFonts w:ascii="Arial" w:cs="Arial" w:eastAsia="Arial" w:hAnsi="Arial"/>
                <w:b/>
                <w:bCs/>
                <w:color w:val="7A5C00"/>
                <w:sz w:val="22"/>
                <w:szCs w:val="22"/>
              </w:rPr>
              <w:t xml:space="preserve">PURPOSE:  </w:t>
            </w:r>
            <w:r>
              <w:rPr>
                <w:rFonts w:ascii="Arial" w:cs="Arial" w:eastAsia="Arial" w:hAnsi="Arial"/>
                <w:color w:val="7A5C00"/>
                <w:sz w:val="22"/>
                <w:szCs w:val="22"/>
              </w:rPr>
              <w:t xml:space="preserve">A plain summary of the technical and organisational security protecting the in-house Portal — written so a regulator can quickly see the safeguards in place.</w:t>
            </w:r>
          </w:p>
        </w:tc>
      </w:tr>
    </w:tbl>
    <w:p>
      <w:r>
        <w:br w:type="page"/>
      </w:r>
    </w:p>
    <w:p>
      <w:pPr>
        <w:pStyle w:val="Heading1"/>
        <w:spacing w:after="140" w:before="320"/>
      </w:pPr>
      <w:r>
        <w:rPr>
          <w:rFonts w:ascii="Arial" w:cs="Arial" w:eastAsia="Arial" w:hAnsi="Arial"/>
          <w:b/>
          <w:bCs/>
          <w:color w:val="1A237E"/>
          <w:sz w:val="30"/>
          <w:szCs w:val="30"/>
        </w:rPr>
        <w:t xml:space="preserve">1.  Access &amp; authentication</w:t>
      </w:r>
    </w:p>
    <w:p>
      <w:pPr>
        <w:pStyle w:val="ListParagraph"/>
        <w:numPr>
          <w:ilvl w:val="0"/>
          <w:numId w:val="2"/>
        </w:numPr>
        <w:spacing w:after="50" w:before="40"/>
      </w:pPr>
      <w:r>
        <w:rPr>
          <w:rFonts w:ascii="Arial" w:cs="Arial" w:eastAsia="Arial" w:hAnsi="Arial"/>
          <w:sz w:val="22"/>
          <w:szCs w:val="22"/>
        </w:rPr>
        <w:t xml:space="preserve">Every user has their own password-protected login. No shared accounts.</w:t>
      </w:r>
    </w:p>
    <w:p>
      <w:pPr>
        <w:pStyle w:val="ListParagraph"/>
        <w:numPr>
          <w:ilvl w:val="0"/>
          <w:numId w:val="2"/>
        </w:numPr>
        <w:spacing w:after="50" w:before="40"/>
      </w:pPr>
      <w:r>
        <w:rPr>
          <w:rFonts w:ascii="Arial" w:cs="Arial" w:eastAsia="Arial" w:hAnsi="Arial"/>
          <w:sz w:val="22"/>
          <w:szCs w:val="22"/>
        </w:rPr>
        <w:t xml:space="preserve">Role-based access: each user sees only what their role needs (e.g. maintenance cannot access resident or HR data).</w:t>
      </w:r>
    </w:p>
    <w:p>
      <w:pPr>
        <w:pStyle w:val="ListParagraph"/>
        <w:numPr>
          <w:ilvl w:val="0"/>
          <w:numId w:val="2"/>
        </w:numPr>
        <w:spacing w:after="50" w:before="40"/>
      </w:pPr>
      <w:r>
        <w:rPr>
          <w:rFonts w:ascii="Arial" w:cs="Arial" w:eastAsia="Arial" w:hAnsi="Arial"/>
          <w:sz w:val="22"/>
          <w:szCs w:val="22"/>
        </w:rPr>
        <w:t xml:space="preserve">Enforced at the database layer (Row Level Security), not just hidden on screen.</w:t>
      </w:r>
    </w:p>
    <w:p>
      <w:pPr>
        <w:pStyle w:val="ListParagraph"/>
        <w:numPr>
          <w:ilvl w:val="0"/>
          <w:numId w:val="2"/>
        </w:numPr>
        <w:spacing w:after="50" w:before="40"/>
      </w:pPr>
      <w:r>
        <w:rPr>
          <w:rFonts w:ascii="Arial" w:cs="Arial" w:eastAsia="Arial" w:hAnsi="Arial"/>
          <w:sz w:val="22"/>
          <w:szCs w:val="22"/>
        </w:rPr>
        <w:t xml:space="preserve">Automatic log-out after inactivity; a second password challenge on the most sensitive areas.</w:t>
      </w:r>
    </w:p>
    <w:p>
      <w:pPr>
        <w:pStyle w:val="ListParagraph"/>
        <w:numPr>
          <w:ilvl w:val="0"/>
          <w:numId w:val="2"/>
        </w:numPr>
        <w:spacing w:after="50" w:before="40"/>
      </w:pPr>
      <w:r>
        <w:rPr>
          <w:rFonts w:ascii="Arial" w:cs="Arial" w:eastAsia="Arial" w:hAnsi="Arial"/>
          <w:sz w:val="22"/>
          <w:szCs w:val="22"/>
        </w:rPr>
        <w:t>The Director can disable any account immediately if a device is lost or a person leaves.</w:t>
      </w:r>
    </w:p>
    <w:p>
      <w:pPr>
        <w:pStyle w:val="Heading1"/>
        <w:spacing w:after="140" w:before="320"/>
      </w:pPr>
      <w:r>
        <w:rPr>
          <w:rFonts w:ascii="Arial" w:cs="Arial" w:eastAsia="Arial" w:hAnsi="Arial"/>
          <w:b/>
          <w:bCs/>
          <w:color w:val="1A237E"/>
          <w:sz w:val="30"/>
          <w:szCs w:val="30"/>
        </w:rPr>
        <w:t xml:space="preserve">2.  Encryption &amp; data in transit</w:t>
      </w:r>
    </w:p>
    <w:p>
      <w:pPr>
        <w:pStyle w:val="ListParagraph"/>
        <w:numPr>
          <w:ilvl w:val="0"/>
          <w:numId w:val="2"/>
        </w:numPr>
        <w:spacing w:after="50" w:before="40"/>
      </w:pPr>
      <w:r>
        <w:rPr>
          <w:rFonts w:ascii="Arial" w:cs="Arial" w:eastAsia="Arial" w:hAnsi="Arial"/>
          <w:sz w:val="22"/>
          <w:szCs w:val="22"/>
        </w:rPr>
        <w:t xml:space="preserve">All connections use HTTPS (TLS) encryption — no unencrypted access allowed.</w:t>
      </w:r>
    </w:p>
    <w:p>
      <w:pPr>
        <w:pStyle w:val="ListParagraph"/>
        <w:numPr>
          <w:ilvl w:val="0"/>
          <w:numId w:val="2"/>
        </w:numPr>
        <w:spacing w:after="50" w:before="40"/>
      </w:pPr>
      <w:r>
        <w:rPr>
          <w:rFonts w:ascii="Arial" w:cs="Arial" w:eastAsia="Arial" w:hAnsi="Arial"/>
          <w:sz w:val="22"/>
          <w:szCs w:val="22"/>
        </w:rPr>
        <w:t xml:space="preserve">Files are stored privately and reached only through short-lived signed links, never public URLs.</w:t>
      </w:r>
    </w:p>
    <w:p>
      <w:pPr>
        <w:pStyle w:val="Heading1"/>
        <w:spacing w:after="140" w:before="320"/>
      </w:pPr>
      <w:r>
        <w:rPr>
          <w:rFonts w:ascii="Arial" w:cs="Arial" w:eastAsia="Arial" w:hAnsi="Arial"/>
          <w:b/>
          <w:bCs/>
          <w:color w:val="1A237E"/>
          <w:sz w:val="30"/>
          <w:szCs w:val="30"/>
        </w:rPr>
        <w:t xml:space="preserve">3.  Storage, backup &amp; recovery</w:t>
      </w:r>
    </w:p>
    <w:p>
      <w:pPr>
        <w:pStyle w:val="ListParagraph"/>
        <w:numPr>
          <w:ilvl w:val="0"/>
          <w:numId w:val="2"/>
        </w:numPr>
        <w:spacing w:after="50" w:before="40"/>
      </w:pPr>
      <w:r>
        <w:rPr>
          <w:rFonts w:ascii="Arial" w:cs="Arial" w:eastAsia="Arial" w:hAnsi="Arial"/>
          <w:sz w:val="22"/>
          <w:szCs w:val="22"/>
        </w:rPr>
        <w:t xml:space="preserve">Data held in a hosted database (Supabase) with automatic backups.</w:t>
      </w:r>
    </w:p>
    <w:p>
      <w:pPr>
        <w:pStyle w:val="ListParagraph"/>
        <w:numPr>
          <w:ilvl w:val="0"/>
          <w:numId w:val="2"/>
        </w:numPr>
        <w:spacing w:after="50" w:before="40"/>
      </w:pPr>
      <w:r>
        <w:rPr>
          <w:rFonts w:ascii="Arial" w:cs="Arial" w:eastAsia="Arial" w:hAnsi="Arial"/>
          <w:sz w:val="22"/>
          <w:szCs w:val="22"/>
        </w:rPr>
        <w:t xml:space="preserve">Source code version-controlled and backed up, with a documented restore process.</w:t>
      </w:r>
    </w:p>
    <w:p>
      <w:pPr>
        <w:pStyle w:val="ListParagraph"/>
        <w:numPr>
          <w:ilvl w:val="0"/>
          <w:numId w:val="2"/>
        </w:numPr>
        <w:spacing w:after="50" w:before="40"/>
      </w:pPr>
      <w:r>
        <w:rPr>
          <w:rFonts w:ascii="Arial" w:cs="Arial" w:eastAsia="Arial" w:hAnsi="Arial"/>
          <w:sz w:val="22"/>
          <w:szCs w:val="22"/>
        </w:rPr>
        <w:t xml:space="preserve">A signed Data Processing Agreement with the hosting provider.</w:t>
      </w:r>
    </w:p>
    <w:p>
      <w:pPr>
        <w:pStyle w:val="Heading1"/>
        <w:spacing w:after="140" w:before="320"/>
      </w:pPr>
      <w:r>
        <w:rPr>
          <w:rFonts w:ascii="Arial" w:cs="Arial" w:eastAsia="Arial" w:hAnsi="Arial"/>
          <w:b/>
          <w:bCs/>
          <w:color w:val="1A237E"/>
          <w:sz w:val="30"/>
          <w:szCs w:val="30"/>
        </w:rPr>
        <w:t xml:space="preserve">4.  Accountability &amp; monitoring</w:t>
      </w:r>
    </w:p>
    <w:p>
      <w:pPr>
        <w:pStyle w:val="ListParagraph"/>
        <w:numPr>
          <w:ilvl w:val="0"/>
          <w:numId w:val="2"/>
        </w:numPr>
        <w:spacing w:after="50" w:before="40"/>
      </w:pPr>
      <w:r>
        <w:rPr>
          <w:rFonts w:ascii="Arial" w:cs="Arial" w:eastAsia="Arial" w:hAnsi="Arial"/>
          <w:sz w:val="22"/>
          <w:szCs w:val="22"/>
        </w:rPr>
        <w:t xml:space="preserve">An access/audit log records activity, supporting accountability and breach investigation.</w:t>
      </w:r>
    </w:p>
    <w:p>
      <w:pPr>
        <w:pStyle w:val="ListParagraph"/>
        <w:numPr>
          <w:ilvl w:val="0"/>
          <w:numId w:val="2"/>
        </w:numPr>
        <w:spacing w:after="50" w:before="40"/>
      </w:pPr>
      <w:r>
        <w:rPr>
          <w:rFonts w:ascii="Arial" w:cs="Arial" w:eastAsia="Arial" w:hAnsi="Arial"/>
          <w:sz w:val="22"/>
          <w:szCs w:val="22"/>
        </w:rPr>
        <w:t xml:space="preserve">Access granted on a need-to-know basis and removed promptly when staff leave.</w:t>
      </w:r>
    </w:p>
    <w:p>
      <w:pPr>
        <w:pStyle w:val="ListParagraph"/>
        <w:numPr>
          <w:ilvl w:val="0"/>
          <w:numId w:val="2"/>
        </w:numPr>
        <w:spacing w:after="50" w:before="40"/>
      </w:pPr>
      <w:r>
        <w:rPr>
          <w:rFonts w:ascii="Arial" w:cs="Arial" w:eastAsia="Arial" w:hAnsi="Arial"/>
          <w:sz w:val="22"/>
          <w:szCs w:val="22"/>
        </w:rPr>
        <w:t xml:space="preserve">Staff trained on data protection and sign the Data Protection Policy.</w:t>
      </w:r>
    </w:p>
    <w:p>
      <w:pPr>
        <w:pStyle w:val="ListParagraph"/>
        <w:numPr>
          <w:ilvl w:val="0"/>
          <w:numId w:val="2"/>
        </w:numPr>
        <w:spacing w:after="50" w:before="40"/>
      </w:pPr>
      <w:r>
        <w:rPr>
          <w:rFonts w:ascii="Arial" w:cs="Arial" w:eastAsia="Arial" w:hAnsi="Arial"/>
          <w:sz w:val="22"/>
          <w:szCs w:val="22"/>
        </w:rPr>
        <w:t xml:space="preserve">A documented breach procedure, including 72-hour ICO reporting.</w:t>
      </w:r>
    </w:p>
    <w:p>
      <w:r>
        <w:br w:type="page"/>
      </w:r>
    </w:p>
    <w:p>
      <w:pPr>
        <w:pStyle w:val="Heading1"/>
        <w:spacing w:after="140" w:before="320"/>
      </w:pPr>
      <w:r>
        <w:rPr>
          <w:rFonts w:ascii="Arial" w:cs="Arial" w:eastAsia="Arial" w:hAnsi="Arial"/>
          <w:b/>
          <w:bCs/>
          <w:color w:val="1A237E"/>
          <w:sz w:val="30"/>
          <w:szCs w:val="30"/>
        </w:rPr>
        <w:t xml:space="preserve">5.  Summary for regulators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E2F0D9" w:val="clear"/>
            <w:tcMar>
              <w:top w:type="dxa" w:w="140"/>
              <w:left w:type="dxa" w:w="180"/>
              <w:bottom w:type="dxa" w:w="140"/>
              <w:right w:type="dxa" w:w="180"/>
            </w:tcMar>
          </w:tcPr>
          <w:p>
            <w:pPr>
              <w:spacing w:after="80"/>
            </w:pPr>
            <w:r>
              <w:rPr>
                <w:rFonts w:ascii="Arial" w:cs="Arial" w:eastAsia="Arial" w:hAnsi="Arial"/>
                <w:b/>
                <w:bCs/>
                <w:color w:val="385723"/>
                <w:sz w:val="22"/>
                <w:szCs w:val="22"/>
              </w:rPr>
              <w:t xml:space="preserve">In short:</w:t>
            </w:r>
          </w:p>
          <w:p>
            <w:r>
              <w:rPr>
                <w:rFonts w:ascii="Arial" w:cs="Arial" w:eastAsia="Arial" w:hAnsi="Arial"/>
                <w:color w:val="385723"/>
                <w:sz w:val="22"/>
                <w:szCs w:val="22"/>
              </w:rPr>
              <w:t xml:space="preserve">The Portal protects personal data through individual logins, role-based access enforced at the database layer, full encryption in transit, private file storage with signed links, automatic backups, an audit log, a signed processor agreement, trained staff, and a clear breach procedure. These measures are appropriate to the sensitivity of the health and care data held, and meet the Company’s obligations under UK GDPR and the Data Protection Act 2018.</w:t>
            </w:r>
          </w:p>
        </w:tc>
      </w:tr>
    </w:tbl>
    <w:p>
      <w:pPr>
        <w:spacing w:after="80"/>
      </w:pPr>
      <w:r>
        <w:t xml:space="preserve"/>
      </w:r>
    </w:p>
    <w:p>
      <w:pPr>
        <w:spacing w:after="100" w:before="60"/>
      </w:pPr>
      <w:r>
        <w:rPr>
          <w:rFonts w:ascii="Arial" w:cs="Arial" w:eastAsia="Arial" w:hAnsi="Arial"/>
          <w:b w:val="false"/>
          <w:bCs w:val="false"/>
          <w:i/>
          <w:iCs/>
          <w:color w:val="808080"/>
          <w:sz w:val="22"/>
          <w:szCs w:val="22"/>
        </w:rPr>
        <w:t xml:space="preserve">Note: confirm and record the data-hosting region with the hosting provider, and keep the signed DPA and ICO certificate filed alongside this pack.</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rPr>
          <w:tblHeader/>
        </w:trPr>
        <w:tc>
          <w:tcPr>
            <w:tcW w:type="dxa" w:w="3008"/>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Role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Signature / date</w:t>
            </w:r>
          </w:p>
        </w:tc>
      </w:tr>
      <w:tr>
        <w:tc>
          <w:tcPr>
            <w:tcW w:type="dxa" w:w="3008"/>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Data Protection Lead</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Hinesh Patel</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r>
      <w:tr>
        <w:tc>
          <w:tcPr>
            <w:tcW w:type="dxa" w:w="300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Director (co-sign)</w:t>
            </w:r>
          </w:p>
        </w:tc>
        <w:tc>
          <w:tcPr>
            <w:tcW w:type="dxa" w:w="30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Sam Balasundaram</w:t>
            </w:r>
          </w:p>
        </w:tc>
        <w:tc>
          <w:tcPr>
            <w:tcW w:type="dxa" w:w="30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Portal Security Summary   |   Birkdale Village Care Home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Arial" w:cs="Arial" w:eastAsia="Arial" w:hAnsi="Arial"/>
      <w:b/>
      <w:bCs/>
      <w:color w:val="1A237E"/>
      <w:sz w:val="30"/>
      <w:szCs w:val="30"/>
    </w:rPr>
  </w:style>
  <w:style w:type="paragraph" w:styleId="Heading2">
    <w:name w:val="Heading 2"/>
    <w:basedOn w:val="Normal"/>
    <w:next w:val="Normal"/>
    <w:qFormat/>
    <w:pPr>
      <w:spacing w:after="90" w:before="220"/>
      <w:outlineLvl w:val="1"/>
    </w:pPr>
    <w:rPr>
      <w:rFonts w:ascii="Arial" w:cs="Arial" w:eastAsia="Arial" w:hAnsi="Arial"/>
      <w:b/>
      <w:bCs/>
      <w:color w:val="283593"/>
      <w:sz w:val="25"/>
      <w:szCs w:val="2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2026-06-03T17:17:22.224Z</dcterms:created>
  <dcterms:modified xsi:type="dcterms:W3CDTF">2026-06-03T17:17:22.224Z</dcterms:modified>
</cp:coreProperties>
</file>

<file path=docProps/custom.xml><?xml version="1.0" encoding="utf-8"?>
<Properties xmlns="http://schemas.openxmlformats.org/officeDocument/2006/custom-properties" xmlns:vt="http://schemas.openxmlformats.org/officeDocument/2006/docPropsVTypes"/>
</file>