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1A237E"/>
          <w:sz w:val="44"/>
          <w:szCs w:val="44"/>
        </w:rPr>
        <w:t xml:space="preserve">BIRKDALE VILLAGE CARE HOME</w:t>
      </w:r>
    </w:p>
    <w:p>
      <w:pPr>
        <w:spacing w:after="80"/>
        <w:jc w:val="center"/>
      </w:pPr>
      <w:r>
        <w:rPr>
          <w:rFonts w:ascii="Arial" w:cs="Arial" w:eastAsia="Arial" w:hAnsi="Arial"/>
          <w:b/>
          <w:bCs/>
          <w:color w:val="283593"/>
          <w:sz w:val="32"/>
          <w:szCs w:val="32"/>
        </w:rPr>
        <w:t xml:space="preserve">Portal Data Protection Policy</w:t>
      </w:r>
    </w:p>
    <w:p>
      <w:pPr>
        <w:spacing w:after="300"/>
        <w:jc w:val="center"/>
      </w:pPr>
      <w:r>
        <w:rPr>
          <w:rFonts w:ascii="Arial" w:cs="Arial" w:eastAsia="Arial" w:hAnsi="Arial"/>
          <w:color w:val="666666"/>
          <w:sz w:val="21"/>
          <w:szCs w:val="21"/>
        </w:rPr>
        <w:t xml:space="preserve">Document 1 of the Portal Data Protection Pack  ·  Version 1.0 — 3 June 2026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Data Controller</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SBS-Services Limited (Company No. 05991566)</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Registered office</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60 Murray Crescent, Pinner, HA5 3QE</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Trading as</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Birkdale Village Care Home, 20 Crescent Road, Southport, PR8 4SR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Data Protection Lead</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Hinesh Patel, Director</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Registered Manager</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Andrea Tomkins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ICO Registration</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ZA400710</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Contact for data matters</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admin@birkdalevillagecarehome.co.uk</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Applies to</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The Birkdale Village Care Home in-house digital Portal</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Last updated</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3 June 2026</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Next review</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2027 (annually or on significant change)</w:t>
            </w:r>
          </w:p>
        </w:tc>
      </w:tr>
    </w:tbl>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FFF6CC" w:val="clear"/>
            <w:tcMar>
              <w:top w:type="dxa" w:w="140"/>
              <w:left w:type="dxa" w:w="180"/>
              <w:bottom w:type="dxa" w:w="140"/>
              <w:right w:type="dxa" w:w="180"/>
            </w:tcMar>
          </w:tcPr>
          <w:p>
            <w:r>
              <w:rPr>
                <w:rFonts w:ascii="Arial" w:cs="Arial" w:eastAsia="Arial" w:hAnsi="Arial"/>
                <w:b/>
                <w:bCs/>
                <w:color w:val="7A5C00"/>
                <w:sz w:val="22"/>
                <w:szCs w:val="22"/>
              </w:rPr>
              <w:t xml:space="preserve">PURPOSE:  </w:t>
            </w:r>
            <w:r>
              <w:rPr>
                <w:rFonts w:ascii="Arial" w:cs="Arial" w:eastAsia="Arial" w:hAnsi="Arial"/>
                <w:color w:val="7A5C00"/>
                <w:sz w:val="22"/>
                <w:szCs w:val="22"/>
              </w:rPr>
              <w:t xml:space="preserve">This policy sets out how we protect the personal data held in our bespoke in-house digital Portal, in line with the UK GDPR and the Data Protection Act 2018.</w:t>
            </w:r>
          </w:p>
        </w:tc>
      </w:tr>
    </w:tbl>
    <w:p>
      <w:r>
        <w:br w:type="page"/>
      </w:r>
    </w:p>
    <w:p>
      <w:pPr>
        <w:pStyle w:val="Heading1"/>
        <w:spacing w:after="140" w:before="320"/>
      </w:pPr>
      <w:r>
        <w:rPr>
          <w:rFonts w:ascii="Arial" w:cs="Arial" w:eastAsia="Arial" w:hAnsi="Arial"/>
          <w:b/>
          <w:bCs/>
          <w:color w:val="1A237E"/>
          <w:sz w:val="30"/>
          <w:szCs w:val="30"/>
        </w:rPr>
        <w:t xml:space="preserve">1.  Purpose and scope</w:t>
      </w:r>
    </w:p>
    <w:p>
      <w:pPr>
        <w:spacing w:after="100" w:before="60"/>
      </w:pPr>
      <w:r>
        <w:rPr>
          <w:rFonts w:ascii="Arial" w:cs="Arial" w:eastAsia="Arial" w:hAnsi="Arial"/>
          <w:b w:val="false"/>
          <w:bCs w:val="false"/>
          <w:i w:val="false"/>
          <w:iCs w:val="false"/>
          <w:color w:val="000000"/>
          <w:sz w:val="22"/>
          <w:szCs w:val="22"/>
        </w:rPr>
        <w:t xml:space="preserve">SBS-Services Limited (“the Company”), trading as Birkdale Village Care Home, operates a bespoke in-house digital system (“the Portal”) developed and run by the Company. It is separate from our care-records system (PCS) and our policy system (QCS). This policy explains how we protect personal data held in the Portal.</w:t>
      </w:r>
    </w:p>
    <w:p>
      <w:pPr>
        <w:spacing w:after="100" w:before="60"/>
      </w:pPr>
      <w:r>
        <w:rPr>
          <w:rFonts w:ascii="Arial" w:cs="Arial" w:eastAsia="Arial" w:hAnsi="Arial"/>
          <w:b w:val="false"/>
          <w:bCs w:val="false"/>
          <w:i w:val="false"/>
          <w:iCs w:val="false"/>
          <w:color w:val="000000"/>
          <w:sz w:val="22"/>
          <w:szCs w:val="22"/>
        </w:rPr>
        <w:t xml:space="preserve">It applies to all directors, the registered manager, employees, agency staff and contractors who access the Portal, and covers data relating to residents, staff, job applicants and families.</w:t>
      </w:r>
    </w:p>
    <w:p>
      <w:pPr>
        <w:pStyle w:val="Heading1"/>
        <w:spacing w:after="140" w:before="320"/>
      </w:pPr>
      <w:r>
        <w:rPr>
          <w:rFonts w:ascii="Arial" w:cs="Arial" w:eastAsia="Arial" w:hAnsi="Arial"/>
          <w:b/>
          <w:bCs/>
          <w:color w:val="1A237E"/>
          <w:sz w:val="30"/>
          <w:szCs w:val="30"/>
        </w:rPr>
        <w:t xml:space="preserve">2.  The personal data we hold in the Portal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rPr>
          <w:tblHeader/>
        </w:trPr>
        <w:tc>
          <w:tcPr>
            <w:tcW w:type="dxa" w:w="3000"/>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Group</w:t>
            </w:r>
          </w:p>
        </w:tc>
        <w:tc>
          <w:tcPr>
            <w:tcW w:type="dxa" w:w="6026"/>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Data held in the Portal</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Residents</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Identifying details; resident contracts; incident/accident records; DoLS/safeguarding-related records; family-communication records. (Detailed clinical care planning is in PCS, not the Portal.)</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Staff</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Recruitment files (DBS, right-to-work, references, contracts); training; supervision/competency; employment and payroll data.</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Job applicants</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Application details, CVs, contact details, references.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Families</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Contact details and communication records for relatives given Portal access.</w:t>
            </w:r>
          </w:p>
        </w:tc>
      </w:tr>
    </w:tbl>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FFF6CC" w:val="clear"/>
            <w:tcMar>
              <w:top w:type="dxa" w:w="140"/>
              <w:left w:type="dxa" w:w="180"/>
              <w:bottom w:type="dxa" w:w="140"/>
              <w:right w:type="dxa" w:w="180"/>
            </w:tcMar>
          </w:tcPr>
          <w:p>
            <w:r>
              <w:rPr>
                <w:rFonts w:ascii="Arial" w:cs="Arial" w:eastAsia="Arial" w:hAnsi="Arial"/>
                <w:b/>
                <w:bCs/>
                <w:color w:val="7A5C00"/>
                <w:sz w:val="22"/>
                <w:szCs w:val="22"/>
              </w:rPr>
              <w:t xml:space="preserve">Special category data: </w:t>
            </w:r>
            <w:r>
              <w:rPr>
                <w:rFonts w:ascii="Arial" w:cs="Arial" w:eastAsia="Arial" w:hAnsi="Arial"/>
                <w:color w:val="7A5C00"/>
                <w:sz w:val="22"/>
                <w:szCs w:val="22"/>
              </w:rPr>
              <w:t xml:space="preserve">the Portal holds health and care-related data, processed under UK GDPR Article 9(2)(h) (provision of health and social care) with the safeguards described below.</w:t>
            </w:r>
          </w:p>
        </w:tc>
      </w:tr>
    </w:tbl>
    <w:p>
      <w:r>
        <w:br w:type="page"/>
      </w:r>
    </w:p>
    <w:p>
      <w:pPr>
        <w:pStyle w:val="Heading1"/>
        <w:spacing w:after="140" w:before="320"/>
      </w:pPr>
      <w:r>
        <w:rPr>
          <w:rFonts w:ascii="Arial" w:cs="Arial" w:eastAsia="Arial" w:hAnsi="Arial"/>
          <w:b/>
          <w:bCs/>
          <w:color w:val="1A237E"/>
          <w:sz w:val="30"/>
          <w:szCs w:val="30"/>
        </w:rPr>
        <w:t xml:space="preserve">3.  Why we process this data (lawful basis)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600"/>
        <w:gridCol w:w="2213"/>
        <w:gridCol w:w="2213"/>
      </w:tblGrid>
      <w:tr>
        <w:trPr>
          <w:tblHeader/>
        </w:trPr>
        <w:tc>
          <w:tcPr>
            <w:tcW w:type="dxa" w:w="4600"/>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Purpose</w:t>
            </w:r>
          </w:p>
        </w:tc>
        <w:tc>
          <w:tcPr>
            <w:tcW w:type="dxa" w:w="2213"/>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Lawful basis (Art 6)</w:t>
            </w:r>
          </w:p>
        </w:tc>
        <w:tc>
          <w:tcPr>
            <w:tcW w:type="dxa" w:w="2213"/>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Special cat. (Art 9)</w:t>
            </w:r>
          </w:p>
        </w:tc>
      </w:tr>
      <w:tr>
        <w:tc>
          <w:tcPr>
            <w:tcW w:type="dxa" w:w="46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Delivering and recording safe care</w:t>
            </w:r>
          </w:p>
        </w:tc>
        <w:tc>
          <w:tcPr>
            <w:tcW w:type="dxa" w:w="2213"/>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6(1)(c) / 6(1)(f)</w:t>
            </w:r>
          </w:p>
        </w:tc>
        <w:tc>
          <w:tcPr>
            <w:tcW w:type="dxa" w:w="2213"/>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9(2)(h)</w:t>
            </w:r>
          </w:p>
        </w:tc>
      </w:tr>
      <w:tr>
        <w:tc>
          <w:tcPr>
            <w:tcW w:type="dxa" w:w="4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Employing and managing staff</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6(1)(b) / 6(1)(c)</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9(2)(b) where relevant</w:t>
            </w:r>
          </w:p>
        </w:tc>
      </w:tr>
      <w:tr>
        <w:tc>
          <w:tcPr>
            <w:tcW w:type="dxa" w:w="46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Recruitment</w:t>
            </w:r>
          </w:p>
        </w:tc>
        <w:tc>
          <w:tcPr>
            <w:tcW w:type="dxa" w:w="2213"/>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6(1)(b)/(f)</w:t>
            </w:r>
          </w:p>
        </w:tc>
        <w:tc>
          <w:tcPr>
            <w:tcW w:type="dxa" w:w="2213"/>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w:t>
            </w:r>
          </w:p>
        </w:tc>
      </w:tr>
      <w:tr>
        <w:tc>
          <w:tcPr>
            <w:tcW w:type="dxa" w:w="4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Keeping families informed</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6(1)(f)</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w:t>
            </w:r>
          </w:p>
        </w:tc>
      </w:tr>
      <w:tr>
        <w:tc>
          <w:tcPr>
            <w:tcW w:type="dxa" w:w="46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Meeting CQC and legal duties</w:t>
            </w:r>
          </w:p>
        </w:tc>
        <w:tc>
          <w:tcPr>
            <w:tcW w:type="dxa" w:w="2213"/>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6(1)(c)</w:t>
            </w:r>
          </w:p>
        </w:tc>
        <w:tc>
          <w:tcPr>
            <w:tcW w:type="dxa" w:w="2213"/>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9(2)(h)</w:t>
            </w:r>
          </w:p>
        </w:tc>
      </w:tr>
    </w:tbl>
    <w:p>
      <w:pPr>
        <w:pStyle w:val="Heading1"/>
        <w:spacing w:after="140" w:before="320"/>
      </w:pPr>
      <w:r>
        <w:rPr>
          <w:rFonts w:ascii="Arial" w:cs="Arial" w:eastAsia="Arial" w:hAnsi="Arial"/>
          <w:b/>
          <w:bCs/>
          <w:color w:val="1A237E"/>
          <w:sz w:val="30"/>
          <w:szCs w:val="30"/>
        </w:rPr>
        <w:t xml:space="preserve">4.  How we keep Portal data safe</w:t>
      </w:r>
    </w:p>
    <w:p>
      <w:pPr>
        <w:pStyle w:val="Heading2"/>
        <w:spacing w:after="90" w:before="220"/>
      </w:pPr>
      <w:r>
        <w:rPr>
          <w:rFonts w:ascii="Arial" w:cs="Arial" w:eastAsia="Arial" w:hAnsi="Arial"/>
          <w:b/>
          <w:bCs/>
          <w:color w:val="283593"/>
          <w:sz w:val="25"/>
          <w:szCs w:val="25"/>
        </w:rPr>
        <w:t xml:space="preserve">Technical measures</w:t>
      </w:r>
    </w:p>
    <w:p>
      <w:pPr>
        <w:pStyle w:val="ListParagraph"/>
        <w:numPr>
          <w:ilvl w:val="0"/>
          <w:numId w:val="2"/>
        </w:numPr>
        <w:spacing w:after="50" w:before="40"/>
      </w:pPr>
      <w:r>
        <w:rPr>
          <w:rFonts w:ascii="Arial" w:cs="Arial" w:eastAsia="Arial" w:hAnsi="Arial"/>
          <w:sz w:val="22"/>
          <w:szCs w:val="22"/>
        </w:rPr>
        <w:t xml:space="preserve">Individual password-protected logins for every user; no shared accounts.</w:t>
      </w:r>
    </w:p>
    <w:p>
      <w:pPr>
        <w:pStyle w:val="ListParagraph"/>
        <w:numPr>
          <w:ilvl w:val="0"/>
          <w:numId w:val="2"/>
        </w:numPr>
        <w:spacing w:after="50" w:before="40"/>
      </w:pPr>
      <w:r>
        <w:rPr>
          <w:rFonts w:ascii="Arial" w:cs="Arial" w:eastAsia="Arial" w:hAnsi="Arial"/>
          <w:sz w:val="22"/>
          <w:szCs w:val="22"/>
        </w:rPr>
        <w:t xml:space="preserve">Role-based access — each user sees only what their role needs (e.g. maintenance cannot access resident or HR data), enforced at the database layer, not just on screen.</w:t>
      </w:r>
    </w:p>
    <w:p>
      <w:pPr>
        <w:pStyle w:val="ListParagraph"/>
        <w:numPr>
          <w:ilvl w:val="0"/>
          <w:numId w:val="2"/>
        </w:numPr>
        <w:spacing w:after="50" w:before="40"/>
      </w:pPr>
      <w:r>
        <w:rPr>
          <w:rFonts w:ascii="Arial" w:cs="Arial" w:eastAsia="Arial" w:hAnsi="Arial"/>
          <w:sz w:val="22"/>
          <w:szCs w:val="22"/>
        </w:rPr>
        <w:t xml:space="preserve">All connections encrypted (HTTPS / TLS).</w:t>
      </w:r>
    </w:p>
    <w:p>
      <w:pPr>
        <w:pStyle w:val="ListParagraph"/>
        <w:numPr>
          <w:ilvl w:val="0"/>
          <w:numId w:val="2"/>
        </w:numPr>
        <w:spacing w:after="50" w:before="40"/>
      </w:pPr>
      <w:r>
        <w:rPr>
          <w:rFonts w:ascii="Arial" w:cs="Arial" w:eastAsia="Arial" w:hAnsi="Arial"/>
          <w:sz w:val="22"/>
          <w:szCs w:val="22"/>
        </w:rPr>
        <w:t xml:space="preserve">Automatic log-out after inactivity; a second password challenge on the most sensitive areas.</w:t>
      </w:r>
    </w:p>
    <w:p>
      <w:pPr>
        <w:pStyle w:val="ListParagraph"/>
        <w:numPr>
          <w:ilvl w:val="0"/>
          <w:numId w:val="2"/>
        </w:numPr>
        <w:spacing w:after="50" w:before="40"/>
      </w:pPr>
      <w:r>
        <w:rPr>
          <w:rFonts w:ascii="Arial" w:cs="Arial" w:eastAsia="Arial" w:hAnsi="Arial"/>
          <w:sz w:val="22"/>
          <w:szCs w:val="22"/>
        </w:rPr>
        <w:t xml:space="preserve">Database-level Row Level Security so data cannot be accessed without a valid login.</w:t>
      </w:r>
    </w:p>
    <w:p>
      <w:pPr>
        <w:pStyle w:val="ListParagraph"/>
        <w:numPr>
          <w:ilvl w:val="0"/>
          <w:numId w:val="2"/>
        </w:numPr>
        <w:spacing w:after="50" w:before="40"/>
      </w:pPr>
      <w:r>
        <w:rPr>
          <w:rFonts w:ascii="Arial" w:cs="Arial" w:eastAsia="Arial" w:hAnsi="Arial"/>
          <w:sz w:val="22"/>
          <w:szCs w:val="22"/>
        </w:rPr>
        <w:t xml:space="preserve">Private file storage — documents reached only via short-lived signed links, never public URLs.</w:t>
      </w:r>
    </w:p>
    <w:p>
      <w:pPr>
        <w:pStyle w:val="ListParagraph"/>
        <w:numPr>
          <w:ilvl w:val="0"/>
          <w:numId w:val="2"/>
        </w:numPr>
        <w:spacing w:after="50" w:before="40"/>
      </w:pPr>
      <w:r>
        <w:rPr>
          <w:rFonts w:ascii="Arial" w:cs="Arial" w:eastAsia="Arial" w:hAnsi="Arial"/>
          <w:sz w:val="22"/>
          <w:szCs w:val="22"/>
        </w:rPr>
        <w:t xml:space="preserve">An access/audit log; automatic database backups.</w:t>
      </w:r>
    </w:p>
    <w:p>
      <w:pPr>
        <w:pStyle w:val="Heading2"/>
        <w:spacing w:after="90" w:before="220"/>
      </w:pPr>
      <w:r>
        <w:rPr>
          <w:rFonts w:ascii="Arial" w:cs="Arial" w:eastAsia="Arial" w:hAnsi="Arial"/>
          <w:b/>
          <w:bCs/>
          <w:color w:val="283593"/>
          <w:sz w:val="25"/>
          <w:szCs w:val="25"/>
        </w:rPr>
        <w:t xml:space="preserve">Organisational measures</w:t>
      </w:r>
    </w:p>
    <w:p>
      <w:pPr>
        <w:pStyle w:val="ListParagraph"/>
        <w:numPr>
          <w:ilvl w:val="0"/>
          <w:numId w:val="2"/>
        </w:numPr>
        <w:spacing w:after="50" w:before="40"/>
      </w:pPr>
      <w:r>
        <w:rPr>
          <w:rFonts w:ascii="Arial" w:cs="Arial" w:eastAsia="Arial" w:hAnsi="Arial"/>
          <w:sz w:val="22"/>
          <w:szCs w:val="22"/>
        </w:rPr>
        <w:t xml:space="preserve">This policy, read and signed by all staff who access the Portal.</w:t>
      </w:r>
    </w:p>
    <w:p>
      <w:pPr>
        <w:pStyle w:val="ListParagraph"/>
        <w:numPr>
          <w:ilvl w:val="0"/>
          <w:numId w:val="2"/>
        </w:numPr>
        <w:spacing w:after="50" w:before="40"/>
      </w:pPr>
      <w:r>
        <w:rPr>
          <w:rFonts w:ascii="Arial" w:cs="Arial" w:eastAsia="Arial" w:hAnsi="Arial"/>
          <w:sz w:val="22"/>
          <w:szCs w:val="22"/>
        </w:rPr>
        <w:t xml:space="preserve">Data protection and confidentiality covered in induction and training.</w:t>
      </w:r>
    </w:p>
    <w:p>
      <w:pPr>
        <w:pStyle w:val="ListParagraph"/>
        <w:numPr>
          <w:ilvl w:val="0"/>
          <w:numId w:val="2"/>
        </w:numPr>
        <w:spacing w:after="50" w:before="40"/>
      </w:pPr>
      <w:r>
        <w:rPr>
          <w:rFonts w:ascii="Arial" w:cs="Arial" w:eastAsia="Arial" w:hAnsi="Arial"/>
          <w:sz w:val="22"/>
          <w:szCs w:val="22"/>
        </w:rPr>
        <w:t xml:space="preserve">Access granted on a need-to-know basis and removed promptly when staff leave.</w:t>
      </w:r>
    </w:p>
    <w:p>
      <w:pPr>
        <w:pStyle w:val="ListParagraph"/>
        <w:numPr>
          <w:ilvl w:val="0"/>
          <w:numId w:val="2"/>
        </w:numPr>
        <w:spacing w:after="50" w:before="40"/>
      </w:pPr>
      <w:r>
        <w:rPr>
          <w:rFonts w:ascii="Arial" w:cs="Arial" w:eastAsia="Arial" w:hAnsi="Arial"/>
          <w:sz w:val="22"/>
          <w:szCs w:val="22"/>
        </w:rPr>
        <w:t xml:space="preserve">A signed Data Processing Agreement with our hosting provider.</w:t>
      </w:r>
    </w:p>
    <w:p>
      <w:r>
        <w:br w:type="page"/>
      </w:r>
    </w:p>
    <w:p>
      <w:pPr>
        <w:pStyle w:val="Heading1"/>
        <w:spacing w:after="140" w:before="320"/>
      </w:pPr>
      <w:r>
        <w:rPr>
          <w:rFonts w:ascii="Arial" w:cs="Arial" w:eastAsia="Arial" w:hAnsi="Arial"/>
          <w:b/>
          <w:bCs/>
          <w:color w:val="1A237E"/>
          <w:sz w:val="30"/>
          <w:szCs w:val="30"/>
        </w:rPr>
        <w:t xml:space="preserve">5.  How long we keep data (retention)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600"/>
        <w:gridCol w:w="4426"/>
      </w:tblGrid>
      <w:tr>
        <w:trPr>
          <w:tblHeader/>
        </w:trPr>
        <w:tc>
          <w:tcPr>
            <w:tcW w:type="dxa" w:w="4600"/>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Record type</w:t>
            </w:r>
          </w:p>
        </w:tc>
        <w:tc>
          <w:tcPr>
            <w:tcW w:type="dxa" w:w="4426"/>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Retention period</w:t>
            </w:r>
          </w:p>
        </w:tc>
      </w:tr>
      <w:tr>
        <w:tc>
          <w:tcPr>
            <w:tcW w:type="dxa" w:w="46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Resident care-related records</w:t>
            </w:r>
          </w:p>
        </w:tc>
        <w:tc>
          <w:tcPr>
            <w:tcW w:type="dxa" w:w="44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8 years after the resident leaves or dies</w:t>
            </w:r>
          </w:p>
        </w:tc>
      </w:tr>
      <w:tr>
        <w:tc>
          <w:tcPr>
            <w:tcW w:type="dxa" w:w="4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Staff employment records</w:t>
            </w:r>
          </w:p>
        </w:tc>
        <w:tc>
          <w:tcPr>
            <w:tcW w:type="dxa" w:w="4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 years after employment ends</w:t>
            </w:r>
          </w:p>
        </w:tc>
      </w:tr>
      <w:tr>
        <w:tc>
          <w:tcPr>
            <w:tcW w:type="dxa" w:w="46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Unsuccessful recruitment records</w:t>
            </w:r>
          </w:p>
        </w:tc>
        <w:tc>
          <w:tcPr>
            <w:tcW w:type="dxa" w:w="44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6–12 months, then deleted</w:t>
            </w:r>
          </w:p>
        </w:tc>
      </w:tr>
      <w:tr>
        <w:tc>
          <w:tcPr>
            <w:tcW w:type="dxa" w:w="4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Financial / payroll records</w:t>
            </w:r>
          </w:p>
        </w:tc>
        <w:tc>
          <w:tcPr>
            <w:tcW w:type="dxa" w:w="4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6 years plus the current year</w:t>
            </w:r>
          </w:p>
        </w:tc>
      </w:tr>
      <w:tr>
        <w:tc>
          <w:tcPr>
            <w:tcW w:type="dxa" w:w="46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Family communication records</w:t>
            </w:r>
          </w:p>
        </w:tc>
        <w:tc>
          <w:tcPr>
            <w:tcW w:type="dxa" w:w="44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Duration of stay, then archived/deleted with care records</w:t>
            </w:r>
          </w:p>
        </w:tc>
      </w:tr>
    </w:tbl>
    <w:p>
      <w:pPr>
        <w:spacing w:after="100" w:before="60"/>
      </w:pPr>
      <w:r>
        <w:rPr>
          <w:rFonts w:ascii="Arial" w:cs="Arial" w:eastAsia="Arial" w:hAnsi="Arial"/>
          <w:b w:val="false"/>
          <w:bCs w:val="false"/>
          <w:i w:val="false"/>
          <w:iCs w:val="false"/>
          <w:color w:val="000000"/>
          <w:sz w:val="22"/>
          <w:szCs w:val="22"/>
        </w:rPr>
        <w:t xml:space="preserve">Data is kept only as long as necessary or to meet a legal obligation, then securely deleted.</w:t>
      </w:r>
    </w:p>
    <w:p>
      <w:pPr>
        <w:pStyle w:val="Heading1"/>
        <w:spacing w:after="140" w:before="320"/>
      </w:pPr>
      <w:r>
        <w:rPr>
          <w:rFonts w:ascii="Arial" w:cs="Arial" w:eastAsia="Arial" w:hAnsi="Arial"/>
          <w:b/>
          <w:bCs/>
          <w:color w:val="1A237E"/>
          <w:sz w:val="30"/>
          <w:szCs w:val="30"/>
        </w:rPr>
        <w:t xml:space="preserve">6.  Who we share data with</w:t>
      </w:r>
    </w:p>
    <w:p>
      <w:pPr>
        <w:spacing w:after="100" w:before="60"/>
      </w:pPr>
      <w:r>
        <w:rPr>
          <w:rFonts w:ascii="Arial" w:cs="Arial" w:eastAsia="Arial" w:hAnsi="Arial"/>
          <w:b w:val="false"/>
          <w:bCs w:val="false"/>
          <w:i w:val="false"/>
          <w:iCs w:val="false"/>
          <w:color w:val="000000"/>
          <w:sz w:val="22"/>
          <w:szCs w:val="22"/>
        </w:rPr>
        <w:t xml:space="preserve">We share data only where necessary and lawful — for example with GPs and health professionals, the local authority, CQC and regulators. We do not sell data or use it for marketing. Our key Portal processor is our hosting provider (Supabase), with whom we hold a signed Data Processing Agreement.</w:t>
      </w:r>
    </w:p>
    <w:p>
      <w:pPr>
        <w:pStyle w:val="Heading1"/>
        <w:spacing w:after="140" w:before="320"/>
      </w:pPr>
      <w:r>
        <w:rPr>
          <w:rFonts w:ascii="Arial" w:cs="Arial" w:eastAsia="Arial" w:hAnsi="Arial"/>
          <w:b/>
          <w:bCs/>
          <w:color w:val="1A237E"/>
          <w:sz w:val="30"/>
          <w:szCs w:val="30"/>
        </w:rPr>
        <w:t xml:space="preserve">7.  Individual rights</w:t>
      </w:r>
    </w:p>
    <w:p>
      <w:pPr>
        <w:spacing w:after="100" w:before="60"/>
      </w:pPr>
      <w:r>
        <w:rPr>
          <w:rFonts w:ascii="Arial" w:cs="Arial" w:eastAsia="Arial" w:hAnsi="Arial"/>
          <w:b w:val="false"/>
          <w:bCs w:val="false"/>
          <w:i w:val="false"/>
          <w:iCs w:val="false"/>
          <w:color w:val="000000"/>
          <w:sz w:val="22"/>
          <w:szCs w:val="22"/>
        </w:rPr>
        <w:t xml:space="preserve">Residents, staff, applicants and families have the rights under UK GDPR — to be informed, to access their data (Subject Access Request), to rectification, erasure (where applicable), restriction, objection, and portability. Requests to admin@birkdalevillagecarehome.co.uk are answered within one month. We can produce the data we hold about an individual on request.</w:t>
      </w:r>
    </w:p>
    <w:p>
      <w:r>
        <w:br w:type="page"/>
      </w:r>
    </w:p>
    <w:p>
      <w:pPr>
        <w:pStyle w:val="Heading1"/>
        <w:spacing w:after="140" w:before="320"/>
      </w:pPr>
      <w:r>
        <w:rPr>
          <w:rFonts w:ascii="Arial" w:cs="Arial" w:eastAsia="Arial" w:hAnsi="Arial"/>
          <w:b/>
          <w:bCs/>
          <w:color w:val="1A237E"/>
          <w:sz w:val="30"/>
          <w:szCs w:val="30"/>
        </w:rPr>
        <w:t xml:space="preserve">8.  Data breach procedure</w:t>
      </w:r>
    </w:p>
    <w:p>
      <w:pPr>
        <w:spacing w:after="100" w:before="60"/>
      </w:pPr>
      <w:r>
        <w:rPr>
          <w:rFonts w:ascii="Arial" w:cs="Arial" w:eastAsia="Arial" w:hAnsi="Arial"/>
          <w:b w:val="false"/>
          <w:bCs w:val="false"/>
          <w:i w:val="false"/>
          <w:iCs w:val="false"/>
          <w:color w:val="000000"/>
          <w:sz w:val="22"/>
          <w:szCs w:val="22"/>
        </w:rPr>
        <w:t xml:space="preserve">A personal data breach is any incident causing accidental or unlawful loss, access, disclosure or destruction of personal data. If suspected:</w:t>
      </w:r>
    </w:p>
    <w:p>
      <w:pPr>
        <w:pStyle w:val="ListParagraph"/>
        <w:numPr>
          <w:ilvl w:val="0"/>
          <w:numId w:val="3"/>
        </w:numPr>
        <w:spacing w:after="50" w:before="40"/>
      </w:pPr>
      <w:r>
        <w:rPr>
          <w:rFonts w:ascii="Arial" w:cs="Arial" w:eastAsia="Arial" w:hAnsi="Arial"/>
          <w:sz w:val="22"/>
          <w:szCs w:val="22"/>
        </w:rPr>
        <w:t xml:space="preserve">Report immediately to the Data Protection Lead (Hinesh Patel).</w:t>
      </w:r>
    </w:p>
    <w:p>
      <w:pPr>
        <w:pStyle w:val="ListParagraph"/>
        <w:numPr>
          <w:ilvl w:val="0"/>
          <w:numId w:val="3"/>
        </w:numPr>
        <w:spacing w:after="50" w:before="40"/>
      </w:pPr>
      <w:r>
        <w:rPr>
          <w:rFonts w:ascii="Arial" w:cs="Arial" w:eastAsia="Arial" w:hAnsi="Arial"/>
          <w:sz w:val="22"/>
          <w:szCs w:val="22"/>
        </w:rPr>
        <w:t xml:space="preserve">Contain it and assess the risk to those affected.</w:t>
      </w:r>
    </w:p>
    <w:p>
      <w:pPr>
        <w:pStyle w:val="ListParagraph"/>
        <w:numPr>
          <w:ilvl w:val="0"/>
          <w:numId w:val="3"/>
        </w:numPr>
        <w:spacing w:after="50" w:before="40"/>
      </w:pPr>
      <w:r>
        <w:rPr>
          <w:rFonts w:ascii="Arial" w:cs="Arial" w:eastAsia="Arial" w:hAnsi="Arial"/>
          <w:sz w:val="22"/>
          <w:szCs w:val="22"/>
        </w:rPr>
        <w:t xml:space="preserve">If likely to risk people’s rights and freedoms, report to the ICO within 72 hours.</w:t>
      </w:r>
    </w:p>
    <w:p>
      <w:pPr>
        <w:pStyle w:val="ListParagraph"/>
        <w:numPr>
          <w:ilvl w:val="0"/>
          <w:numId w:val="3"/>
        </w:numPr>
        <w:spacing w:after="50" w:before="40"/>
      </w:pPr>
      <w:r>
        <w:rPr>
          <w:rFonts w:ascii="Arial" w:cs="Arial" w:eastAsia="Arial" w:hAnsi="Arial"/>
          <w:sz w:val="22"/>
          <w:szCs w:val="22"/>
        </w:rPr>
        <w:t xml:space="preserve">If high risk, inform the affected individuals without undue delay.</w:t>
      </w:r>
    </w:p>
    <w:p>
      <w:pPr>
        <w:pStyle w:val="ListParagraph"/>
        <w:numPr>
          <w:ilvl w:val="0"/>
          <w:numId w:val="3"/>
        </w:numPr>
        <w:spacing w:after="50" w:before="40"/>
      </w:pPr>
      <w:r>
        <w:rPr>
          <w:rFonts w:ascii="Arial" w:cs="Arial" w:eastAsia="Arial" w:hAnsi="Arial"/>
          <w:sz w:val="22"/>
          <w:szCs w:val="22"/>
        </w:rPr>
        <w:t xml:space="preserve">Record the breach, actions taken and lessons learned.</w:t>
      </w:r>
    </w:p>
    <w:p>
      <w:pPr>
        <w:pStyle w:val="Heading1"/>
        <w:spacing w:after="140" w:before="320"/>
      </w:pPr>
      <w:r>
        <w:rPr>
          <w:rFonts w:ascii="Arial" w:cs="Arial" w:eastAsia="Arial" w:hAnsi="Arial"/>
          <w:b/>
          <w:bCs/>
          <w:color w:val="1A237E"/>
          <w:sz w:val="30"/>
          <w:szCs w:val="30"/>
        </w:rPr>
        <w:t xml:space="preserve">9.  Third-party data processors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rPr>
          <w:tblHeader/>
        </w:trPr>
        <w:tc>
          <w:tcPr>
            <w:tcW w:type="dxa" w:w="3008"/>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Processor</w:t>
            </w:r>
          </w:p>
        </w:tc>
        <w:tc>
          <w:tcPr>
            <w:tcW w:type="dxa" w:w="3009"/>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Purpose</w:t>
            </w:r>
          </w:p>
        </w:tc>
        <w:tc>
          <w:tcPr>
            <w:tcW w:type="dxa" w:w="3009"/>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Safeguard</w:t>
            </w:r>
          </w:p>
        </w:tc>
      </w:tr>
      <w:tr>
        <w:tc>
          <w:tcPr>
            <w:tcW w:type="dxa" w:w="3008"/>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Supabase</w:t>
            </w:r>
          </w:p>
        </w:tc>
        <w:tc>
          <w:tcPr>
            <w:tcW w:type="dxa" w:w="3009"/>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Portal database &amp; file hosting</w:t>
            </w:r>
          </w:p>
        </w:tc>
        <w:tc>
          <w:tcPr>
            <w:tcW w:type="dxa" w:w="3009"/>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Signed DPA; hosting region to be confirmed/recorded</w:t>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Cloudflare</w:t>
            </w:r>
          </w:p>
        </w:tc>
        <w:tc>
          <w:tcPr>
            <w:tcW w:type="dxa" w:w="30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Secure serving of the Portal (HTTPS)</w:t>
            </w:r>
          </w:p>
        </w:tc>
        <w:tc>
          <w:tcPr>
            <w:tcW w:type="dxa" w:w="30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Standard processor terms</w:t>
            </w:r>
          </w:p>
        </w:tc>
      </w:tr>
    </w:tbl>
    <w:p>
      <w:pPr>
        <w:spacing w:after="100" w:before="60"/>
      </w:pPr>
      <w:r>
        <w:rPr>
          <w:rFonts w:ascii="Arial" w:cs="Arial" w:eastAsia="Arial" w:hAnsi="Arial"/>
          <w:b w:val="false"/>
          <w:bCs w:val="false"/>
          <w:i/>
          <w:iCs/>
          <w:color w:val="808080"/>
          <w:sz w:val="22"/>
          <w:szCs w:val="22"/>
        </w:rPr>
        <w:t xml:space="preserve">Note: confirm and record the data-hosting region for each processor, and keep signed agreements on file.</w:t>
      </w:r>
    </w:p>
    <w:p>
      <w:pPr>
        <w:pStyle w:val="Heading1"/>
        <w:spacing w:after="140" w:before="320"/>
      </w:pPr>
      <w:r>
        <w:rPr>
          <w:rFonts w:ascii="Arial" w:cs="Arial" w:eastAsia="Arial" w:hAnsi="Arial"/>
          <w:b/>
          <w:bCs/>
          <w:color w:val="1A237E"/>
          <w:sz w:val="30"/>
          <w:szCs w:val="30"/>
        </w:rPr>
        <w:t xml:space="preserve">10.  Staff responsibilities</w:t>
      </w:r>
    </w:p>
    <w:p>
      <w:pPr>
        <w:pStyle w:val="ListParagraph"/>
        <w:numPr>
          <w:ilvl w:val="0"/>
          <w:numId w:val="2"/>
        </w:numPr>
        <w:spacing w:after="50" w:before="40"/>
      </w:pPr>
      <w:r>
        <w:rPr>
          <w:rFonts w:ascii="Arial" w:cs="Arial" w:eastAsia="Arial" w:hAnsi="Arial"/>
          <w:sz w:val="22"/>
          <w:szCs w:val="22"/>
        </w:rPr>
        <w:t xml:space="preserve">Keep your login confidential; never share passwords or leave the Portal open and unattended.</w:t>
      </w:r>
    </w:p>
    <w:p>
      <w:pPr>
        <w:pStyle w:val="ListParagraph"/>
        <w:numPr>
          <w:ilvl w:val="0"/>
          <w:numId w:val="2"/>
        </w:numPr>
        <w:spacing w:after="50" w:before="40"/>
      </w:pPr>
      <w:r>
        <w:rPr>
          <w:rFonts w:ascii="Arial" w:cs="Arial" w:eastAsia="Arial" w:hAnsi="Arial"/>
          <w:sz w:val="22"/>
          <w:szCs w:val="22"/>
        </w:rPr>
        <w:t xml:space="preserve">Only access data you need for your role.</w:t>
      </w:r>
    </w:p>
    <w:p>
      <w:pPr>
        <w:pStyle w:val="ListParagraph"/>
        <w:numPr>
          <w:ilvl w:val="0"/>
          <w:numId w:val="2"/>
        </w:numPr>
        <w:spacing w:after="50" w:before="40"/>
      </w:pPr>
      <w:r>
        <w:rPr>
          <w:rFonts w:ascii="Arial" w:cs="Arial" w:eastAsia="Arial" w:hAnsi="Arial"/>
          <w:sz w:val="22"/>
          <w:szCs w:val="22"/>
        </w:rPr>
        <w:t xml:space="preserve">Never discuss or disclose personal data inappropriately.</w:t>
      </w:r>
    </w:p>
    <w:p>
      <w:pPr>
        <w:pStyle w:val="ListParagraph"/>
        <w:numPr>
          <w:ilvl w:val="0"/>
          <w:numId w:val="2"/>
        </w:numPr>
        <w:spacing w:after="50" w:before="40"/>
      </w:pPr>
      <w:r>
        <w:rPr>
          <w:rFonts w:ascii="Arial" w:cs="Arial" w:eastAsia="Arial" w:hAnsi="Arial"/>
          <w:sz w:val="22"/>
          <w:szCs w:val="22"/>
        </w:rPr>
        <w:t xml:space="preserve">Report any suspected breach immediately.</w:t>
      </w:r>
    </w:p>
    <w:p>
      <w:pPr>
        <w:pStyle w:val="ListParagraph"/>
        <w:numPr>
          <w:ilvl w:val="0"/>
          <w:numId w:val="2"/>
        </w:numPr>
        <w:spacing w:after="50" w:before="40"/>
      </w:pPr>
      <w:r>
        <w:rPr>
          <w:rFonts w:ascii="Arial" w:cs="Arial" w:eastAsia="Arial" w:hAnsi="Arial"/>
          <w:sz w:val="22"/>
          <w:szCs w:val="22"/>
        </w:rPr>
        <w:t xml:space="preserve">Breaching this policy may result in disciplinary action up to and including dismissal.</w:t>
      </w:r>
    </w:p>
    <w:p>
      <w:pPr>
        <w:spacing w:after="80"/>
      </w:pPr>
      <w:r>
        <w:t xml:space="preserve"/>
      </w:r>
    </w:p>
    <w:p>
      <w:pPr>
        <w:pStyle w:val="Heading1"/>
        <w:spacing w:after="140" w:before="320"/>
      </w:pPr>
      <w:r>
        <w:rPr>
          <w:rFonts w:ascii="Arial" w:cs="Arial" w:eastAsia="Arial" w:hAnsi="Arial"/>
          <w:b/>
          <w:bCs/>
          <w:color w:val="1A237E"/>
          <w:sz w:val="30"/>
          <w:szCs w:val="30"/>
        </w:rPr>
        <w:t xml:space="preserve">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rPr>
          <w:tblHeader/>
        </w:trPr>
        <w:tc>
          <w:tcPr>
            <w:tcW w:type="dxa" w:w="3008"/>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Role</w:t>
            </w:r>
          </w:p>
        </w:tc>
        <w:tc>
          <w:tcPr>
            <w:tcW w:type="dxa" w:w="3009"/>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Name</w:t>
            </w:r>
          </w:p>
        </w:tc>
        <w:tc>
          <w:tcPr>
            <w:tcW w:type="dxa" w:w="3009"/>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Signature / date</w:t>
            </w:r>
          </w:p>
        </w:tc>
      </w:tr>
      <w:tr>
        <w:tc>
          <w:tcPr>
            <w:tcW w:type="dxa" w:w="3008"/>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Registered Manager</w:t>
            </w:r>
          </w:p>
        </w:tc>
        <w:tc>
          <w:tcPr>
            <w:tcW w:type="dxa" w:w="3009"/>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Andrea Tomkins</w:t>
            </w:r>
          </w:p>
        </w:tc>
        <w:tc>
          <w:tcPr>
            <w:tcW w:type="dxa" w:w="3009"/>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Data Protection Lead</w:t>
            </w:r>
          </w:p>
        </w:tc>
        <w:tc>
          <w:tcPr>
            <w:tcW w:type="dxa" w:w="30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Hinesh Patel</w:t>
            </w:r>
          </w:p>
        </w:tc>
        <w:tc>
          <w:tcPr>
            <w:tcW w:type="dxa" w:w="30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r>
        <w:tc>
          <w:tcPr>
            <w:tcW w:type="dxa" w:w="3008"/>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Director (co-sign)</w:t>
            </w:r>
          </w:p>
        </w:tc>
        <w:tc>
          <w:tcPr>
            <w:tcW w:type="dxa" w:w="3009"/>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Sam Balasundaram</w:t>
            </w:r>
          </w:p>
        </w:tc>
        <w:tc>
          <w:tcPr>
            <w:tcW w:type="dxa" w:w="3009"/>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6"/>
        <w:szCs w:val="16"/>
      </w:rPr>
      <w:t xml:space="preserve">Data Protection Policy   |   Birkdale Village Care Home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Arial" w:cs="Arial" w:eastAsia="Arial" w:hAnsi="Arial"/>
      <w:b/>
      <w:bCs/>
      <w:color w:val="1A237E"/>
      <w:sz w:val="30"/>
      <w:szCs w:val="30"/>
    </w:rPr>
  </w:style>
  <w:style w:type="paragraph" w:styleId="Heading2">
    <w:name w:val="Heading 2"/>
    <w:basedOn w:val="Normal"/>
    <w:next w:val="Normal"/>
    <w:qFormat/>
    <w:pPr>
      <w:spacing w:after="90" w:before="220"/>
      <w:outlineLvl w:val="1"/>
    </w:pPr>
    <w:rPr>
      <w:rFonts w:ascii="Arial" w:cs="Arial" w:eastAsia="Arial" w:hAnsi="Arial"/>
      <w:b/>
      <w:bCs/>
      <w:color w:val="283593"/>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2026-06-03T17:16:29.095Z</dcterms:created>
  <dcterms:modified xsi:type="dcterms:W3CDTF">2026-06-03T17:16:29.096Z</dcterms:modified>
</cp:coreProperties>
</file>

<file path=docProps/custom.xml><?xml version="1.0" encoding="utf-8"?>
<Properties xmlns="http://schemas.openxmlformats.org/officeDocument/2006/custom-properties" xmlns:vt="http://schemas.openxmlformats.org/officeDocument/2006/docPropsVTypes"/>
</file>