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572C0" w14:paraId="3DCDC4E2"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DF" w14:textId="77777777" w:rsidR="004572C0" w:rsidRDefault="00000000">
            <w:pPr>
              <w:spacing w:before="60" w:after="60"/>
            </w:pPr>
            <w:r>
              <w:rPr>
                <w:b/>
                <w:bCs/>
                <w:sz w:val="28"/>
                <w:szCs w:val="28"/>
              </w:rPr>
              <w:t>BIRKDALE VILLAGE CARE HOME</w:t>
            </w:r>
          </w:p>
          <w:p w14:paraId="3DCDC4E0" w14:textId="77777777" w:rsidR="004572C0" w:rsidRDefault="00000000">
            <w:pPr>
              <w:spacing w:before="60" w:after="60"/>
            </w:pPr>
            <w:r>
              <w:rPr>
                <w:b/>
                <w:bCs/>
                <w:sz w:val="24"/>
                <w:szCs w:val="24"/>
              </w:rPr>
              <w:t>CCTV Data Protection Impact Assessment</w:t>
            </w:r>
          </w:p>
          <w:p w14:paraId="3DCDC4E1" w14:textId="77777777" w:rsidR="004572C0" w:rsidRDefault="00000000">
            <w:pPr>
              <w:spacing w:before="60" w:after="60"/>
            </w:pPr>
            <w:r>
              <w:t>DPIA/CCTV/001 — Whole-Site CCTV System</w:t>
            </w:r>
          </w:p>
        </w:tc>
      </w:tr>
    </w:tbl>
    <w:p w14:paraId="3DCDC4E3" w14:textId="77777777" w:rsidR="004572C0" w:rsidRDefault="004572C0">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4572C0" w14:paraId="3DCDC4E6"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E4" w14:textId="77777777" w:rsidR="004572C0" w:rsidRDefault="00000000">
            <w:pPr>
              <w:spacing w:before="60" w:after="60"/>
            </w:pPr>
            <w:r>
              <w:rPr>
                <w:b/>
                <w:bCs/>
              </w:rPr>
              <w:t>Home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E5" w14:textId="77777777" w:rsidR="004572C0" w:rsidRDefault="00000000">
            <w:pPr>
              <w:spacing w:before="60" w:after="60"/>
            </w:pPr>
            <w:r>
              <w:t>Birkdale Village Care Home, 20 Crescent Road, Southport, PR8 4SR</w:t>
            </w:r>
          </w:p>
        </w:tc>
      </w:tr>
      <w:tr w:rsidR="004572C0" w14:paraId="3DCDC4E9"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E7" w14:textId="77777777" w:rsidR="004572C0" w:rsidRDefault="00000000">
            <w:pPr>
              <w:spacing w:before="60" w:after="60"/>
            </w:pPr>
            <w:r>
              <w:rPr>
                <w:b/>
                <w:bCs/>
              </w:rPr>
              <w:t>Data Controller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E8" w14:textId="77777777" w:rsidR="004572C0" w:rsidRDefault="00000000">
            <w:pPr>
              <w:spacing w:before="60" w:after="60"/>
            </w:pPr>
            <w:r>
              <w:t>SBS-Services Limited (Company No. 05991566)</w:t>
            </w:r>
          </w:p>
        </w:tc>
      </w:tr>
      <w:tr w:rsidR="004572C0" w14:paraId="3DCDC4EC"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EA" w14:textId="77777777" w:rsidR="004572C0" w:rsidRDefault="00000000">
            <w:pPr>
              <w:spacing w:before="60" w:after="60"/>
            </w:pPr>
            <w:r>
              <w:rPr>
                <w:b/>
                <w:bCs/>
              </w:rPr>
              <w:t>Registered Office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EB" w14:textId="77777777" w:rsidR="004572C0" w:rsidRDefault="00000000">
            <w:pPr>
              <w:spacing w:before="60" w:after="60"/>
            </w:pPr>
            <w:r>
              <w:t>60 Murray Crescent, Pinner, HA5 3QE</w:t>
            </w:r>
          </w:p>
        </w:tc>
      </w:tr>
      <w:tr w:rsidR="004572C0" w14:paraId="3DCDC4EF"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ED" w14:textId="77777777" w:rsidR="004572C0" w:rsidRDefault="00000000">
            <w:pPr>
              <w:spacing w:before="60" w:after="60"/>
            </w:pPr>
            <w:r>
              <w:rPr>
                <w:b/>
                <w:bCs/>
              </w:rPr>
              <w:t>Directors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EE" w14:textId="77777777" w:rsidR="004572C0" w:rsidRDefault="00000000">
            <w:pPr>
              <w:spacing w:before="60" w:after="60"/>
            </w:pPr>
            <w:r>
              <w:t>Hinesh Patel, Sam Balasundaram</w:t>
            </w:r>
          </w:p>
        </w:tc>
      </w:tr>
      <w:tr w:rsidR="004572C0" w14:paraId="3DCDC4F2"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F0" w14:textId="77777777" w:rsidR="004572C0" w:rsidRDefault="00000000">
            <w:pPr>
              <w:spacing w:before="60" w:after="60"/>
            </w:pPr>
            <w:r>
              <w:rPr>
                <w:b/>
                <w:bCs/>
              </w:rPr>
              <w:t>Data Protection Lead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F1" w14:textId="77777777" w:rsidR="004572C0" w:rsidRDefault="00000000">
            <w:pPr>
              <w:spacing w:before="60" w:after="60"/>
            </w:pPr>
            <w:r>
              <w:t>Hinesh Patel (Director)</w:t>
            </w:r>
          </w:p>
        </w:tc>
      </w:tr>
      <w:tr w:rsidR="004572C0" w14:paraId="3DCDC4F5"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F3" w14:textId="77777777" w:rsidR="004572C0" w:rsidRDefault="00000000">
            <w:pPr>
              <w:spacing w:before="60" w:after="60"/>
            </w:pPr>
            <w:r>
              <w:rPr>
                <w:b/>
                <w:bCs/>
              </w:rPr>
              <w:t>Registered Manager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F4" w14:textId="77777777" w:rsidR="004572C0" w:rsidRDefault="00000000">
            <w:pPr>
              <w:spacing w:before="60" w:after="60"/>
            </w:pPr>
            <w:r>
              <w:t>Andrea Tomkins</w:t>
            </w:r>
          </w:p>
        </w:tc>
      </w:tr>
      <w:tr w:rsidR="004572C0" w14:paraId="3DCDC4F8"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F6" w14:textId="77777777" w:rsidR="004572C0" w:rsidRDefault="00000000">
            <w:pPr>
              <w:spacing w:before="60" w:after="60"/>
            </w:pPr>
            <w:r>
              <w:rPr>
                <w:b/>
                <w:bCs/>
              </w:rPr>
              <w:t>ICO Registration</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F7" w14:textId="77777777" w:rsidR="004572C0" w:rsidRDefault="00000000">
            <w:pPr>
              <w:spacing w:before="60" w:after="60"/>
            </w:pPr>
            <w:r>
              <w:t>ZA400710</w:t>
            </w:r>
          </w:p>
        </w:tc>
      </w:tr>
      <w:tr w:rsidR="004572C0" w14:paraId="3DCDC4FB"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F9" w14:textId="77777777" w:rsidR="004572C0" w:rsidRDefault="00000000">
            <w:pPr>
              <w:spacing w:before="60" w:after="60"/>
            </w:pPr>
            <w:r>
              <w:rPr>
                <w:b/>
                <w:bCs/>
              </w:rPr>
              <w:t>SAR / data contact</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FA" w14:textId="77777777" w:rsidR="004572C0" w:rsidRDefault="00000000">
            <w:pPr>
              <w:spacing w:before="60" w:after="60"/>
            </w:pPr>
            <w:r>
              <w:t>manager@birkdalevillagecarehome.co.uk  |  01704 564801</w:t>
            </w:r>
          </w:p>
        </w:tc>
      </w:tr>
      <w:tr w:rsidR="004572C0" w14:paraId="3DCDC4FE"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4FC" w14:textId="77777777" w:rsidR="004572C0" w:rsidRDefault="00000000">
            <w:pPr>
              <w:spacing w:before="60" w:after="60"/>
            </w:pPr>
            <w:r>
              <w:rPr>
                <w:b/>
                <w:bCs/>
              </w:rPr>
              <w:t>Last Updated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4FD" w14:textId="77777777" w:rsidR="004572C0" w:rsidRDefault="00000000">
            <w:pPr>
              <w:spacing w:before="60" w:after="60"/>
            </w:pPr>
            <w:r>
              <w:t>April 2026 — Version 1 (definitive)</w:t>
            </w:r>
          </w:p>
        </w:tc>
      </w:tr>
    </w:tbl>
    <w:p w14:paraId="3DCDC4FF" w14:textId="77777777" w:rsidR="004572C0" w:rsidRDefault="004572C0">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572C0" w14:paraId="3DCDC501"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3DCDC500" w14:textId="77777777" w:rsidR="004572C0" w:rsidRDefault="00000000">
            <w:pPr>
              <w:spacing w:before="60" w:after="60"/>
            </w:pPr>
            <w:r>
              <w:rPr>
                <w:b/>
                <w:bCs/>
              </w:rPr>
              <w:t>PURPOSE.</w:t>
            </w:r>
            <w:r>
              <w:t xml:space="preserve"> This DPIA documents the home's complete CCTV system as required under UK GDPR Article 35. It covers 10 existing cameras together with 4 new cameras installed in April–May 2026. From the date of sign-off, the entire 14-camera system is governed by this DPIA, the accompanying CCTV Policy, and the Legitimate Interests Assessment.</w:t>
            </w:r>
          </w:p>
        </w:tc>
      </w:tr>
    </w:tbl>
    <w:p w14:paraId="3DCDC502" w14:textId="77777777" w:rsidR="004572C0" w:rsidRDefault="004572C0">
      <w:pPr>
        <w:spacing w:before="40" w:after="40"/>
      </w:pPr>
    </w:p>
    <w:p w14:paraId="3DCDC503" w14:textId="77777777" w:rsidR="004572C0" w:rsidRDefault="00000000">
      <w:pPr>
        <w:pStyle w:val="Heading1"/>
      </w:pPr>
      <w:r>
        <w:t>1. DESCRIPTION OF THE PROCESSING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4572C0" w14:paraId="3DCDC506"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04" w14:textId="77777777" w:rsidR="004572C0" w:rsidRDefault="00000000">
            <w:r>
              <w:rPr>
                <w:b/>
                <w:bCs/>
              </w:rPr>
              <w:t>Field</w:t>
            </w:r>
          </w:p>
        </w:tc>
        <w:tc>
          <w:tcPr>
            <w:tcW w:w="624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05" w14:textId="77777777" w:rsidR="004572C0" w:rsidRDefault="00000000">
            <w:r>
              <w:rPr>
                <w:b/>
                <w:bCs/>
              </w:rPr>
              <w:t>Detail</w:t>
            </w:r>
          </w:p>
        </w:tc>
      </w:tr>
      <w:tr w:rsidR="004572C0" w14:paraId="3DCDC509"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07" w14:textId="77777777" w:rsidR="004572C0" w:rsidRDefault="00000000">
            <w:pPr>
              <w:spacing w:before="60" w:after="60"/>
            </w:pPr>
            <w:r>
              <w:t>What is being processed?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08" w14:textId="77777777" w:rsidR="004572C0" w:rsidRDefault="00000000">
            <w:pPr>
              <w:spacing w:before="60" w:after="60"/>
            </w:pPr>
            <w:r>
              <w:t>CCTV video footage (no audio) capturing images of residents, staff, visitors, contractors and any other person entering the covered areas of Birkdale Village Care Home.</w:t>
            </w:r>
          </w:p>
        </w:tc>
      </w:tr>
      <w:tr w:rsidR="004572C0" w14:paraId="3DCDC50C"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0A" w14:textId="77777777" w:rsidR="004572C0" w:rsidRDefault="00000000">
            <w:pPr>
              <w:spacing w:before="60" w:after="60"/>
            </w:pPr>
            <w:r>
              <w:t>How is it collected?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0B" w14:textId="77777777" w:rsidR="004572C0" w:rsidRDefault="00000000">
            <w:pPr>
              <w:spacing w:before="60" w:after="60"/>
            </w:pPr>
            <w:r>
              <w:t>Continuous digital video recording via 15 fixed-position cameras. Footage is stored on an encrypted digital video recorder (DVR/NVR) located in a locked area of the home with restricted access.</w:t>
            </w:r>
          </w:p>
        </w:tc>
      </w:tr>
      <w:tr w:rsidR="004572C0" w14:paraId="3DCDC50F"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0D" w14:textId="77777777" w:rsidR="004572C0" w:rsidRDefault="00000000">
            <w:pPr>
              <w:spacing w:before="60" w:after="60"/>
            </w:pPr>
            <w:r>
              <w:t>How many cameras?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0E" w14:textId="77777777" w:rsidR="004572C0" w:rsidRDefault="00000000">
            <w:pPr>
              <w:spacing w:before="60" w:after="60"/>
            </w:pPr>
            <w:r>
              <w:t>15 cameras in total — 11 already in operation, 4 newly installed in the back garden, first floor hallway, main lounge and dining room (live from May 2026).</w:t>
            </w:r>
          </w:p>
        </w:tc>
      </w:tr>
      <w:tr w:rsidR="004572C0" w14:paraId="3DCDC512"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0" w14:textId="77777777" w:rsidR="004572C0" w:rsidRDefault="00000000">
            <w:pPr>
              <w:spacing w:before="60" w:after="60"/>
            </w:pPr>
            <w:r>
              <w:lastRenderedPageBreak/>
              <w:t>Why is it being collected?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1" w14:textId="77777777" w:rsidR="004572C0" w:rsidRDefault="00000000">
            <w:pPr>
              <w:spacing w:before="60" w:after="60"/>
            </w:pPr>
            <w:r>
              <w:t>Safeguarding of vulnerable adults; evidence for incidents (falls, altercations, allegations, medication concerns); deterrence of misconduct or crime; health and safety monitoring of communal areas; security of the building; security of controlled drugs in the medication room.</w:t>
            </w:r>
          </w:p>
        </w:tc>
      </w:tr>
      <w:tr w:rsidR="004572C0" w14:paraId="3DCDC515"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3" w14:textId="77777777" w:rsidR="004572C0" w:rsidRDefault="00000000">
            <w:pPr>
              <w:spacing w:before="60" w:after="60"/>
            </w:pPr>
            <w:r>
              <w:t>How long will it be kept?</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4" w14:textId="77777777" w:rsidR="004572C0" w:rsidRDefault="00000000">
            <w:pPr>
              <w:spacing w:before="60" w:after="60"/>
            </w:pPr>
            <w:r>
              <w:t>Maximum 30 days, then automatically overwritten. Retained longer only where specifically required for a live incident investigation, safeguarding referral, police request or legal claim.</w:t>
            </w:r>
          </w:p>
        </w:tc>
      </w:tr>
      <w:tr w:rsidR="004572C0" w14:paraId="3DCDC518"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6" w14:textId="77777777" w:rsidR="004572C0" w:rsidRDefault="00000000">
            <w:pPr>
              <w:spacing w:before="60" w:after="60"/>
            </w:pPr>
            <w:r>
              <w:t>Who will have access?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7" w14:textId="77777777" w:rsidR="004572C0" w:rsidRDefault="00000000">
            <w:pPr>
              <w:spacing w:before="60" w:after="60"/>
            </w:pPr>
            <w:r>
              <w:t>The Registered Manager (Andrea Tomkins); the Director / Data Protection Lead (Hinesh Patel); named written deputies in the absence of the above. All access is logged. External disclosure only to Police, CQC, ICO, safeguarding authorities or legal representatives on valid request.</w:t>
            </w:r>
          </w:p>
        </w:tc>
      </w:tr>
      <w:tr w:rsidR="004572C0" w14:paraId="3DCDC51B"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9" w14:textId="77777777" w:rsidR="004572C0" w:rsidRDefault="00000000">
            <w:pPr>
              <w:spacing w:before="60" w:after="60"/>
            </w:pPr>
            <w:r>
              <w:t>Number of data subjects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A" w14:textId="77777777" w:rsidR="004572C0" w:rsidRDefault="00000000">
            <w:pPr>
              <w:spacing w:before="60" w:after="60"/>
            </w:pPr>
            <w:r>
              <w:t>Approximately 17 residents; 13 staff; a variable number of visitors, contractors and healthcare professionals.</w:t>
            </w:r>
          </w:p>
        </w:tc>
      </w:tr>
      <w:tr w:rsidR="004572C0" w14:paraId="3DCDC51E"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C" w14:textId="77777777" w:rsidR="004572C0" w:rsidRDefault="00000000">
            <w:pPr>
              <w:spacing w:before="60" w:after="60"/>
            </w:pPr>
            <w:r>
              <w:t>Geographic scope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1D" w14:textId="77777777" w:rsidR="004572C0" w:rsidRDefault="00000000">
            <w:pPr>
              <w:spacing w:before="60" w:after="60"/>
            </w:pPr>
            <w:r>
              <w:t>Single-site (Birkdale Village Care Home). Data does not leave the UK. No cloud processing.</w:t>
            </w:r>
          </w:p>
        </w:tc>
      </w:tr>
    </w:tbl>
    <w:p w14:paraId="3DCDC51F" w14:textId="77777777" w:rsidR="004572C0" w:rsidRDefault="004572C0">
      <w:pPr>
        <w:spacing w:before="40" w:after="40"/>
      </w:pPr>
    </w:p>
    <w:p w14:paraId="3DCDC520" w14:textId="77777777" w:rsidR="004572C0" w:rsidRDefault="00000000">
      <w:pPr>
        <w:pStyle w:val="Heading2"/>
      </w:pPr>
      <w:r>
        <w:t>Camera coverage breakdown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5"/>
        <w:gridCol w:w="2295"/>
        <w:gridCol w:w="1498"/>
        <w:gridCol w:w="5042"/>
      </w:tblGrid>
      <w:tr w:rsidR="004572C0" w14:paraId="3DCDC525"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21" w14:textId="77777777" w:rsidR="004572C0" w:rsidRDefault="00000000">
            <w:r>
              <w:rPr>
                <w:b/>
                <w:bCs/>
              </w:rPr>
              <w:t>#</w:t>
            </w:r>
          </w:p>
        </w:tc>
        <w:tc>
          <w:tcPr>
            <w:tcW w:w="23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22" w14:textId="77777777" w:rsidR="004572C0" w:rsidRDefault="00000000">
            <w:r>
              <w:rPr>
                <w:b/>
                <w:bCs/>
              </w:rPr>
              <w:t>Location</w:t>
            </w:r>
          </w:p>
        </w:tc>
        <w:tc>
          <w:tcPr>
            <w:tcW w:w="15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23" w14:textId="77777777" w:rsidR="004572C0" w:rsidRDefault="00000000">
            <w:r>
              <w:rPr>
                <w:b/>
                <w:bCs/>
              </w:rPr>
              <w:t>Status</w:t>
            </w:r>
          </w:p>
        </w:tc>
        <w:tc>
          <w:tcPr>
            <w:tcW w:w="506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24" w14:textId="77777777" w:rsidR="004572C0" w:rsidRDefault="00000000">
            <w:r>
              <w:rPr>
                <w:b/>
                <w:bCs/>
              </w:rPr>
              <w:t>Purpose / data captured</w:t>
            </w:r>
          </w:p>
        </w:tc>
      </w:tr>
      <w:tr w:rsidR="004572C0" w14:paraId="3DCDC52A"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26" w14:textId="77777777" w:rsidR="004572C0" w:rsidRDefault="00000000">
            <w:pPr>
              <w:spacing w:before="60" w:after="60"/>
            </w:pPr>
            <w:r>
              <w:t>1–5</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27" w14:textId="77777777" w:rsidR="004572C0" w:rsidRDefault="00000000">
            <w:pPr>
              <w:spacing w:before="60" w:after="60"/>
            </w:pPr>
            <w:r>
              <w:t>Building exterior (5 cameras)</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28" w14:textId="77777777" w:rsidR="004572C0" w:rsidRDefault="00000000">
            <w:pPr>
              <w:spacing w:before="60" w:after="60"/>
            </w:pPr>
            <w:r>
              <w:t>Existing</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29" w14:textId="77777777" w:rsidR="004572C0" w:rsidRDefault="00000000">
            <w:pPr>
              <w:spacing w:before="60" w:after="60"/>
            </w:pPr>
            <w:r>
              <w:t>Perimeter, car park, external approaches. Primarily visitors, delivery drivers and staff arriving. Low privacy impact.</w:t>
            </w:r>
          </w:p>
        </w:tc>
      </w:tr>
      <w:tr w:rsidR="004572C0" w14:paraId="3DCDC52F"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2B" w14:textId="77777777" w:rsidR="004572C0" w:rsidRDefault="00000000">
            <w:pPr>
              <w:spacing w:before="60" w:after="60"/>
            </w:pPr>
            <w:r>
              <w:t>6</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2C" w14:textId="77777777" w:rsidR="004572C0" w:rsidRDefault="00000000">
            <w:pPr>
              <w:spacing w:before="60" w:after="60"/>
            </w:pPr>
            <w:r>
              <w:t>Entrance door</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2D" w14:textId="77777777" w:rsidR="004572C0" w:rsidRDefault="00000000">
            <w:pPr>
              <w:spacing w:before="60" w:after="60"/>
            </w:pPr>
            <w:r>
              <w:t>Existing</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2E" w14:textId="77777777" w:rsidR="004572C0" w:rsidRDefault="00000000">
            <w:pPr>
              <w:spacing w:before="60" w:after="60"/>
            </w:pPr>
            <w:r>
              <w:t>Anyone entering the building. Moderate privacy impact.</w:t>
            </w:r>
          </w:p>
        </w:tc>
      </w:tr>
      <w:tr w:rsidR="004572C0" w14:paraId="3DCDC534"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0" w14:textId="77777777" w:rsidR="004572C0" w:rsidRDefault="00000000">
            <w:pPr>
              <w:spacing w:before="60" w:after="60"/>
            </w:pPr>
            <w:r>
              <w:t>7</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1" w14:textId="77777777" w:rsidR="004572C0" w:rsidRDefault="00000000">
            <w:pPr>
              <w:spacing w:before="60" w:after="60"/>
            </w:pPr>
            <w:r>
              <w:t>Ground floor hallway</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2" w14:textId="77777777" w:rsidR="004572C0" w:rsidRDefault="00000000">
            <w:pPr>
              <w:spacing w:before="60" w:after="60"/>
            </w:pPr>
            <w:r>
              <w:t>Existing</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3" w14:textId="77777777" w:rsidR="004572C0" w:rsidRDefault="00000000">
            <w:pPr>
              <w:spacing w:before="60" w:after="60"/>
            </w:pPr>
            <w:r>
              <w:t>Residents, staff, visitors circulating. Moderate privacy impact — may capture incidental health information.</w:t>
            </w:r>
          </w:p>
        </w:tc>
      </w:tr>
      <w:tr w:rsidR="004572C0" w14:paraId="3DCDC539"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5" w14:textId="77777777" w:rsidR="004572C0" w:rsidRDefault="00000000">
            <w:pPr>
              <w:spacing w:before="60" w:after="60"/>
            </w:pPr>
            <w:r>
              <w:t>8</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6" w14:textId="77777777" w:rsidR="004572C0" w:rsidRDefault="00000000">
            <w:pPr>
              <w:spacing w:before="60" w:after="60"/>
            </w:pPr>
            <w:r>
              <w:t>First floor hallway (existing)</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7" w14:textId="77777777" w:rsidR="004572C0" w:rsidRDefault="00000000">
            <w:pPr>
              <w:spacing w:before="60" w:after="60"/>
            </w:pPr>
            <w:r>
              <w:t>Existing</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8" w14:textId="77777777" w:rsidR="004572C0" w:rsidRDefault="00000000">
            <w:pPr>
              <w:spacing w:before="60" w:after="60"/>
            </w:pPr>
            <w:r>
              <w:t>As above.</w:t>
            </w:r>
          </w:p>
        </w:tc>
      </w:tr>
      <w:tr w:rsidR="004572C0" w14:paraId="3DCDC53E"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A" w14:textId="77777777" w:rsidR="004572C0" w:rsidRDefault="00000000">
            <w:pPr>
              <w:spacing w:before="60" w:after="60"/>
            </w:pPr>
            <w:r>
              <w:t>9</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B" w14:textId="77777777" w:rsidR="004572C0" w:rsidRDefault="00000000">
            <w:pPr>
              <w:spacing w:before="60" w:after="60"/>
            </w:pPr>
            <w:r>
              <w:t>Kitchen</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C" w14:textId="77777777" w:rsidR="004572C0" w:rsidRDefault="00000000">
            <w:pPr>
              <w:spacing w:before="60" w:after="60"/>
            </w:pPr>
            <w:r>
              <w:t>Existing</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D" w14:textId="77777777" w:rsidR="004572C0" w:rsidRDefault="00000000">
            <w:pPr>
              <w:spacing w:before="60" w:after="60"/>
            </w:pPr>
            <w:r>
              <w:t>Kitchen staff during food preparation. Moderate impact — food safety and staff protection purpose.</w:t>
            </w:r>
          </w:p>
        </w:tc>
      </w:tr>
      <w:tr w:rsidR="004572C0" w14:paraId="3DCDC543"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3F" w14:textId="77777777" w:rsidR="004572C0" w:rsidRDefault="00000000">
            <w:pPr>
              <w:spacing w:before="60" w:after="60"/>
            </w:pPr>
            <w:r>
              <w:t>10</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0" w14:textId="77777777" w:rsidR="004572C0" w:rsidRDefault="00000000">
            <w:pPr>
              <w:spacing w:before="60" w:after="60"/>
            </w:pPr>
            <w:r>
              <w:t>Medication room</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1" w14:textId="77777777" w:rsidR="004572C0" w:rsidRDefault="00000000">
            <w:pPr>
              <w:spacing w:before="60" w:after="60"/>
            </w:pPr>
            <w:r>
              <w:t>Existing</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2" w14:textId="77777777" w:rsidR="004572C0" w:rsidRDefault="00000000">
            <w:pPr>
              <w:spacing w:before="60" w:after="60"/>
            </w:pPr>
            <w:r>
              <w:t>Staff during medication administration. May incidentally capture clinical care — special category data. Higher privacy impact mitigated by tight purpose (drug security).</w:t>
            </w:r>
          </w:p>
        </w:tc>
      </w:tr>
      <w:tr w:rsidR="004572C0" w14:paraId="3DCDC548"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4" w14:textId="77777777" w:rsidR="004572C0" w:rsidRDefault="00000000">
            <w:pPr>
              <w:spacing w:before="60" w:after="60"/>
            </w:pPr>
            <w:r>
              <w:lastRenderedPageBreak/>
              <w:t>11</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5" w14:textId="08542243" w:rsidR="004572C0" w:rsidRDefault="00000000">
            <w:pPr>
              <w:spacing w:before="60" w:after="60"/>
            </w:pPr>
            <w:r>
              <w:t>Back garden</w:t>
            </w:r>
            <w:r w:rsidR="00FE02AB">
              <w:t xml:space="preserve"> x2</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6" w14:textId="77777777" w:rsidR="004572C0" w:rsidRDefault="00000000">
            <w:pPr>
              <w:spacing w:before="60" w:after="60"/>
            </w:pPr>
            <w:r>
              <w:t>New — live May 2026</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7" w14:textId="77777777" w:rsidR="004572C0" w:rsidRDefault="00000000">
            <w:pPr>
              <w:spacing w:before="60" w:after="60"/>
            </w:pPr>
            <w:r>
              <w:t>External perimeter extension. Primarily staff and contractors; residents occasionally in warmer months. Low privacy impact.</w:t>
            </w:r>
          </w:p>
        </w:tc>
      </w:tr>
      <w:tr w:rsidR="004572C0" w14:paraId="3DCDC54D"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9" w14:textId="77777777" w:rsidR="004572C0" w:rsidRDefault="00000000">
            <w:pPr>
              <w:spacing w:before="60" w:after="60"/>
            </w:pPr>
            <w:r>
              <w:t>12</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A" w14:textId="77777777" w:rsidR="004572C0" w:rsidRDefault="00000000">
            <w:pPr>
              <w:spacing w:before="60" w:after="60"/>
            </w:pPr>
            <w:r>
              <w:t>First floor hallway (additional)</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B" w14:textId="77777777" w:rsidR="004572C0" w:rsidRDefault="00000000">
            <w:pPr>
              <w:spacing w:before="60" w:after="60"/>
            </w:pPr>
            <w:r>
              <w:t>New — live May 2026</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C" w14:textId="77777777" w:rsidR="004572C0" w:rsidRDefault="00000000">
            <w:pPr>
              <w:spacing w:before="60" w:after="60"/>
            </w:pPr>
            <w:r>
              <w:t>Second camera on first floor, extending coverage of circulation route. Moderate privacy impact. Full consultation undertaken.</w:t>
            </w:r>
          </w:p>
        </w:tc>
      </w:tr>
      <w:tr w:rsidR="004572C0" w14:paraId="3DCDC552"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E" w14:textId="77777777" w:rsidR="004572C0" w:rsidRDefault="00000000">
            <w:pPr>
              <w:spacing w:before="60" w:after="60"/>
            </w:pPr>
            <w:r>
              <w:t>13</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4F" w14:textId="77777777" w:rsidR="004572C0" w:rsidRDefault="00000000">
            <w:pPr>
              <w:spacing w:before="60" w:after="60"/>
            </w:pPr>
            <w:r>
              <w:t>Main residents' lounge</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50" w14:textId="77777777" w:rsidR="004572C0" w:rsidRDefault="00000000">
            <w:pPr>
              <w:spacing w:before="60" w:after="60"/>
            </w:pPr>
            <w:r>
              <w:t>New — live May 2026</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51" w14:textId="77777777" w:rsidR="004572C0" w:rsidRDefault="00000000">
            <w:pPr>
              <w:spacing w:before="60" w:after="60"/>
            </w:pPr>
            <w:r>
              <w:t>Residents and staff in communal social area. Moderate privacy impact. Full consultation undertaken.</w:t>
            </w:r>
          </w:p>
        </w:tc>
      </w:tr>
      <w:tr w:rsidR="004572C0" w14:paraId="3DCDC557"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53" w14:textId="77777777" w:rsidR="004572C0" w:rsidRDefault="00000000">
            <w:pPr>
              <w:spacing w:before="60" w:after="60"/>
            </w:pPr>
            <w:r>
              <w:t>14</w:t>
            </w:r>
          </w:p>
        </w:tc>
        <w:tc>
          <w:tcPr>
            <w:tcW w:w="23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54" w14:textId="77777777" w:rsidR="004572C0" w:rsidRDefault="00000000">
            <w:pPr>
              <w:spacing w:before="60" w:after="60"/>
            </w:pPr>
            <w:r>
              <w:t>Dining room</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55" w14:textId="77777777" w:rsidR="004572C0" w:rsidRDefault="00000000">
            <w:pPr>
              <w:spacing w:before="60" w:after="60"/>
            </w:pPr>
            <w:r>
              <w:t>New — live May 2026</w:t>
            </w:r>
          </w:p>
        </w:tc>
        <w:tc>
          <w:tcPr>
            <w:tcW w:w="50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56" w14:textId="77777777" w:rsidR="004572C0" w:rsidRDefault="00000000">
            <w:pPr>
              <w:spacing w:before="60" w:after="60"/>
            </w:pPr>
            <w:r>
              <w:t>Residents and staff at mealtimes. Moderate privacy impact. Full consultation undertaken.</w:t>
            </w:r>
          </w:p>
        </w:tc>
      </w:tr>
    </w:tbl>
    <w:p w14:paraId="3DCDC558" w14:textId="77777777" w:rsidR="004572C0" w:rsidRDefault="004572C0">
      <w:pPr>
        <w:spacing w:before="40" w:after="40"/>
      </w:pPr>
    </w:p>
    <w:p w14:paraId="3DCDC559" w14:textId="77777777" w:rsidR="004572C0" w:rsidRDefault="00000000">
      <w:pPr>
        <w:pStyle w:val="Heading1"/>
      </w:pPr>
      <w:r>
        <w:t>2. CONSULTATION PROCESS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4572C0" w14:paraId="3DCDC55C"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5A" w14:textId="77777777" w:rsidR="004572C0" w:rsidRDefault="00000000">
            <w:r>
              <w:rPr>
                <w:b/>
                <w:bCs/>
              </w:rPr>
              <w:t>Stakeholder group</w:t>
            </w:r>
          </w:p>
        </w:tc>
        <w:tc>
          <w:tcPr>
            <w:tcW w:w="624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5B" w14:textId="77777777" w:rsidR="004572C0" w:rsidRDefault="00000000">
            <w:r>
              <w:rPr>
                <w:b/>
                <w:bCs/>
              </w:rPr>
              <w:t>Consultation method and outcome</w:t>
            </w:r>
          </w:p>
        </w:tc>
      </w:tr>
      <w:tr w:rsidR="004572C0" w14:paraId="3DCDC55F"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5D" w14:textId="77777777" w:rsidR="004572C0" w:rsidRDefault="00000000">
            <w:pPr>
              <w:spacing w:before="60" w:after="60"/>
            </w:pPr>
            <w:r>
              <w:t>Residents (with capacity)</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5E" w14:textId="77777777" w:rsidR="004572C0" w:rsidRDefault="00000000">
            <w:pPr>
              <w:spacing w:before="60" w:after="60"/>
            </w:pPr>
            <w:r>
              <w:t>One-to-one discussion with every resident who has capacity, from Friday 24 April 2026. Recorded on Document 9 (Resident Consultation Record). Outcome to be summarised after consultation window closes 8 May 2026.</w:t>
            </w:r>
          </w:p>
        </w:tc>
      </w:tr>
      <w:tr w:rsidR="004572C0" w14:paraId="3DCDC562"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0" w14:textId="77777777" w:rsidR="004572C0" w:rsidRDefault="00000000">
            <w:pPr>
              <w:spacing w:before="60" w:after="60"/>
            </w:pPr>
            <w:r>
              <w:t>Residents lacking capacity</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1" w14:textId="77777777" w:rsidR="004572C0" w:rsidRDefault="00000000">
            <w:pPr>
              <w:spacing w:before="60" w:after="60"/>
            </w:pPr>
            <w:r>
              <w:t>Best-Interests Decision made under Mental Capacity Act 2005 in consultation with family / lawful representative / advocate. Recorded on Document 10 (MCA Best Interests Decision).</w:t>
            </w:r>
          </w:p>
        </w:tc>
      </w:tr>
      <w:tr w:rsidR="004572C0" w14:paraId="3DCDC565"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3" w14:textId="77777777" w:rsidR="004572C0" w:rsidRDefault="00000000">
            <w:pPr>
              <w:spacing w:before="60" w:after="60"/>
            </w:pPr>
            <w:r>
              <w:t>Families / lawful representatives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4" w14:textId="77777777" w:rsidR="004572C0" w:rsidRDefault="00000000">
            <w:pPr>
              <w:spacing w:before="60" w:after="60"/>
            </w:pPr>
            <w:r>
              <w:t>Written Consultation Letter issued Friday 24 April 2026, response deadline Friday 8 May 2026. Outcome to be summarised after consultation closes.</w:t>
            </w:r>
          </w:p>
        </w:tc>
      </w:tr>
      <w:tr w:rsidR="004572C0" w14:paraId="3DCDC568"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6" w14:textId="77777777" w:rsidR="004572C0" w:rsidRDefault="00000000">
            <w:pPr>
              <w:spacing w:before="60" w:after="60"/>
            </w:pPr>
            <w:r>
              <w:t>Staff</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7" w14:textId="77777777" w:rsidR="004572C0" w:rsidRDefault="00000000">
            <w:pPr>
              <w:spacing w:before="60" w:after="60"/>
            </w:pPr>
            <w:r>
              <w:t>Written Staff Consultation Notice issued Friday 24 April 2026. All-staff meeting held Friday 1 May 2026. Staff consultation covers the full 14-camera inventory.</w:t>
            </w:r>
          </w:p>
        </w:tc>
      </w:tr>
      <w:tr w:rsidR="004572C0" w14:paraId="3DCDC56B"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9" w14:textId="77777777" w:rsidR="004572C0" w:rsidRDefault="00000000">
            <w:pPr>
              <w:spacing w:before="60" w:after="60"/>
            </w:pPr>
            <w:r>
              <w:t>Objections received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A" w14:textId="77777777" w:rsidR="004572C0" w:rsidRDefault="00000000">
            <w:pPr>
              <w:spacing w:before="60" w:after="60"/>
            </w:pPr>
            <w:r>
              <w:t>[To be completed after consultation closes — see Document 11 Consultation Response Log]</w:t>
            </w:r>
          </w:p>
        </w:tc>
      </w:tr>
      <w:tr w:rsidR="004572C0" w14:paraId="3DCDC56E"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C" w14:textId="77777777" w:rsidR="004572C0" w:rsidRDefault="00000000">
            <w:pPr>
              <w:spacing w:before="60" w:after="60"/>
            </w:pPr>
            <w:r>
              <w:t>Data Protection Lead consulted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6D" w14:textId="77777777" w:rsidR="004572C0" w:rsidRDefault="00000000">
            <w:pPr>
              <w:spacing w:before="60" w:after="60"/>
            </w:pPr>
            <w:r>
              <w:t>Yes — Hinesh Patel (Director). The DPIA has been reviewed and advice provided on signage, access controls, retention, and incorporation of the existing cameras into formal governance.</w:t>
            </w:r>
          </w:p>
        </w:tc>
      </w:tr>
    </w:tbl>
    <w:p w14:paraId="3DCDC56F" w14:textId="77777777" w:rsidR="004572C0" w:rsidRDefault="004572C0">
      <w:pPr>
        <w:spacing w:before="40" w:after="40"/>
      </w:pPr>
    </w:p>
    <w:p w14:paraId="3DCDC570" w14:textId="77777777" w:rsidR="004572C0" w:rsidRDefault="00000000">
      <w:pPr>
        <w:pStyle w:val="Heading1"/>
      </w:pPr>
      <w:r>
        <w:t>3. NECESSITY AND PROPORTIONALITY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4572C0" w14:paraId="3DCDC573"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71" w14:textId="77777777" w:rsidR="004572C0" w:rsidRDefault="00000000">
            <w:r>
              <w:rPr>
                <w:b/>
                <w:bCs/>
              </w:rPr>
              <w:t>Test</w:t>
            </w:r>
          </w:p>
        </w:tc>
        <w:tc>
          <w:tcPr>
            <w:tcW w:w="624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72" w14:textId="77777777" w:rsidR="004572C0" w:rsidRDefault="00000000">
            <w:r>
              <w:rPr>
                <w:b/>
                <w:bCs/>
              </w:rPr>
              <w:t>Position</w:t>
            </w:r>
          </w:p>
        </w:tc>
      </w:tr>
      <w:tr w:rsidR="004572C0" w14:paraId="3DCDC576"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74" w14:textId="77777777" w:rsidR="004572C0" w:rsidRDefault="00000000">
            <w:pPr>
              <w:spacing w:before="60" w:after="60"/>
            </w:pPr>
            <w:r>
              <w:lastRenderedPageBreak/>
              <w:t>Lawful basis (Article 6)</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75" w14:textId="77777777" w:rsidR="004572C0" w:rsidRDefault="00000000">
            <w:pPr>
              <w:spacing w:before="60" w:after="60"/>
            </w:pPr>
            <w:r>
              <w:t>Article 6(1)(f) — Legitimate Interests. A Legitimate Interests Assessment (LIA) has been completed for the whole system and is retained alongside this DPIA.</w:t>
            </w:r>
          </w:p>
        </w:tc>
      </w:tr>
      <w:tr w:rsidR="004572C0" w14:paraId="3DCDC579"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77" w14:textId="77777777" w:rsidR="004572C0" w:rsidRDefault="00000000">
            <w:pPr>
              <w:spacing w:before="60" w:after="60"/>
            </w:pPr>
            <w:r>
              <w:t>Special category condition (Article 9)</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78" w14:textId="77777777" w:rsidR="004572C0" w:rsidRDefault="00000000">
            <w:pPr>
              <w:spacing w:before="60" w:after="60"/>
            </w:pPr>
            <w:r>
              <w:t>Article 9(2)(h) — provision of health and social care; Schedule 1 Part 1 paragraph 2, Data Protection Act 2018. Relevant particularly to the medication room camera and incidental health information visible in communal footage.</w:t>
            </w:r>
          </w:p>
        </w:tc>
      </w:tr>
      <w:tr w:rsidR="004572C0" w14:paraId="3DCDC57C"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7A" w14:textId="77777777" w:rsidR="004572C0" w:rsidRDefault="00000000">
            <w:pPr>
              <w:spacing w:before="60" w:after="60"/>
            </w:pPr>
            <w:r>
              <w:t>Less intrusive alternatives considered?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7B" w14:textId="77777777" w:rsidR="004572C0" w:rsidRDefault="00000000">
            <w:pPr>
              <w:spacing w:before="60" w:after="60"/>
            </w:pPr>
            <w:r>
              <w:t>Yes. Alternatives considered: increased staffing ratios; more frequent welfare checks; motion-sensor call alerts; visitor sign-in only; security patrols. These alternatives were judged insufficient on their own to meet safeguarding, evidential, security and controlled drugs objectives. CCTV, with the controls in this DPIA, is the least intrusive option that achieves the purpose.</w:t>
            </w:r>
          </w:p>
        </w:tc>
      </w:tr>
      <w:tr w:rsidR="004572C0" w14:paraId="3DCDC57F"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7D" w14:textId="77777777" w:rsidR="004572C0" w:rsidRDefault="00000000">
            <w:pPr>
              <w:spacing w:before="60" w:after="60"/>
            </w:pPr>
            <w:r>
              <w:t>How is data minimised?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7E" w14:textId="77777777" w:rsidR="004572C0" w:rsidRDefault="00000000">
            <w:pPr>
              <w:spacing w:before="60" w:after="60"/>
            </w:pPr>
            <w:r>
              <w:t>Cameras cover only areas where there is a documented legitimate purpose. No bedrooms, bathrooms, toilets, staff break rooms, staff office or treatment rooms are covered. Audio is disabled on every camera. Retention is capped at 30 days. Access is restricted to two named individuals plus nominated deputies.</w:t>
            </w:r>
          </w:p>
        </w:tc>
      </w:tr>
      <w:tr w:rsidR="004572C0" w14:paraId="3DCDC582"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80" w14:textId="77777777" w:rsidR="004572C0" w:rsidRDefault="00000000">
            <w:pPr>
              <w:spacing w:before="60" w:after="60"/>
            </w:pPr>
            <w:r>
              <w:t>Accuracy measures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81" w14:textId="77777777" w:rsidR="004572C0" w:rsidRDefault="00000000">
            <w:pPr>
              <w:spacing w:before="60" w:after="60"/>
            </w:pPr>
            <w:r>
              <w:t>Cameras tested quarterly; date/time stamps checked weekly as part of the weekly maintenance inspection (Document 16); footage quality reviewed monthly by the Registered Manager.</w:t>
            </w:r>
          </w:p>
        </w:tc>
      </w:tr>
      <w:tr w:rsidR="004572C0" w14:paraId="3DCDC585"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83" w14:textId="77777777" w:rsidR="004572C0" w:rsidRDefault="00000000">
            <w:pPr>
              <w:spacing w:before="60" w:after="60"/>
            </w:pPr>
            <w:r>
              <w:t>Rights of data subjects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84" w14:textId="77777777" w:rsidR="004572C0" w:rsidRDefault="00000000">
            <w:pPr>
              <w:spacing w:before="60" w:after="60"/>
            </w:pPr>
            <w:r>
              <w:t>Residents, families, staff, visitors and contractors are informed via signage at every entrance (Document 18), the privacy notice (Document 8), the resident welcome pack, and (for staff) the staff handbook. Subject Access Requests are handled within one calendar month per Document 14. The right to object is documented in the Consultation Letter and Staff Notice.</w:t>
            </w:r>
          </w:p>
        </w:tc>
      </w:tr>
    </w:tbl>
    <w:p w14:paraId="3DCDC586" w14:textId="77777777" w:rsidR="004572C0" w:rsidRDefault="004572C0">
      <w:pPr>
        <w:spacing w:before="40" w:after="40"/>
      </w:pPr>
    </w:p>
    <w:p w14:paraId="3DCDC587" w14:textId="77777777" w:rsidR="004572C0" w:rsidRDefault="00000000">
      <w:pPr>
        <w:pStyle w:val="Heading1"/>
      </w:pPr>
      <w:r>
        <w:t>4. RISK ASSESSMENT</w:t>
      </w:r>
    </w:p>
    <w:p w14:paraId="3DCDC588" w14:textId="77777777" w:rsidR="004572C0" w:rsidRDefault="00000000">
      <w:pPr>
        <w:spacing w:before="60" w:after="60"/>
      </w:pPr>
      <w:r>
        <w:t>The following risks have been identified across the 14-camera system. Risks are rated before mitigation (inherent) and after mitigation (residual). All residual risks are LOW following the mitigations listed.</w:t>
      </w:r>
    </w:p>
    <w:p w14:paraId="3DCDC589" w14:textId="77777777" w:rsidR="004572C0" w:rsidRDefault="004572C0">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36"/>
        <w:gridCol w:w="1380"/>
        <w:gridCol w:w="1137"/>
        <w:gridCol w:w="4507"/>
      </w:tblGrid>
      <w:tr w:rsidR="004572C0" w14:paraId="3DCDC58E"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8A" w14:textId="77777777" w:rsidR="004572C0" w:rsidRDefault="00000000">
            <w:r>
              <w:rPr>
                <w:b/>
                <w:bCs/>
              </w:rPr>
              <w:t>Risk</w:t>
            </w:r>
          </w:p>
        </w:tc>
        <w:tc>
          <w:tcPr>
            <w:tcW w:w="11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8B" w14:textId="77777777" w:rsidR="004572C0" w:rsidRDefault="00000000">
            <w:r>
              <w:rPr>
                <w:b/>
                <w:bCs/>
              </w:rPr>
              <w:t>Likelihood</w:t>
            </w:r>
          </w:p>
        </w:tc>
        <w:tc>
          <w:tcPr>
            <w:tcW w:w="11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8C" w14:textId="77777777" w:rsidR="004572C0" w:rsidRDefault="00000000">
            <w:r>
              <w:rPr>
                <w:b/>
                <w:bCs/>
              </w:rPr>
              <w:t>Severity</w:t>
            </w:r>
          </w:p>
        </w:tc>
        <w:tc>
          <w:tcPr>
            <w:tcW w:w="476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8D" w14:textId="77777777" w:rsidR="004572C0" w:rsidRDefault="00000000">
            <w:r>
              <w:rPr>
                <w:b/>
                <w:bCs/>
              </w:rPr>
              <w:t>Mitigation</w:t>
            </w:r>
          </w:p>
        </w:tc>
      </w:tr>
      <w:tr w:rsidR="004572C0" w14:paraId="3DCDC59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8F" w14:textId="77777777" w:rsidR="004572C0" w:rsidRDefault="00000000">
            <w:pPr>
              <w:spacing w:before="60" w:after="60"/>
            </w:pPr>
            <w:r>
              <w:t>Unauthorised access to footage</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0" w14:textId="77777777" w:rsidR="004572C0" w:rsidRDefault="00000000">
            <w:pPr>
              <w:spacing w:before="60" w:after="60"/>
            </w:pPr>
            <w:r>
              <w:t>Low</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1" w14:textId="77777777" w:rsidR="004572C0" w:rsidRDefault="00000000">
            <w:pPr>
              <w:spacing w:before="60" w:after="60"/>
            </w:pPr>
            <w:r>
              <w:t>High</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2" w14:textId="77777777" w:rsidR="004572C0" w:rsidRDefault="00000000">
            <w:pPr>
              <w:spacing w:before="60" w:after="60"/>
            </w:pPr>
            <w:r>
              <w:t>Encrypted DVR in locked area; access restricted to two named individuals plus nominated deputies; access log maintained; passwords changed quarterly; named user accounts — no shared logins.</w:t>
            </w:r>
          </w:p>
        </w:tc>
      </w:tr>
      <w:tr w:rsidR="004572C0" w14:paraId="3DCDC598"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4" w14:textId="77777777" w:rsidR="004572C0" w:rsidRDefault="00000000">
            <w:pPr>
              <w:spacing w:before="60" w:after="60"/>
            </w:pPr>
            <w:r>
              <w:lastRenderedPageBreak/>
              <w:t>Accidental disclosure of footage</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5" w14:textId="77777777" w:rsidR="004572C0" w:rsidRDefault="00000000">
            <w:pPr>
              <w:spacing w:before="60" w:after="60"/>
            </w:pPr>
            <w:r>
              <w:t>Low</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6" w14:textId="77777777" w:rsidR="004572C0" w:rsidRDefault="00000000">
            <w:pPr>
              <w:spacing w:before="60" w:after="60"/>
            </w:pPr>
            <w:r>
              <w:t>Medium</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7" w14:textId="77777777" w:rsidR="004572C0" w:rsidRDefault="00000000">
            <w:pPr>
              <w:spacing w:before="60" w:after="60"/>
            </w:pPr>
            <w:r>
              <w:t>Staff training on the CCTV Policy; written authorisation from the Registered Manager required before any export; redaction of identifiable third parties before disclosure; disclosure register maintained (Document 13).</w:t>
            </w:r>
          </w:p>
        </w:tc>
      </w:tr>
      <w:tr w:rsidR="004572C0" w14:paraId="3DCDC59D"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9" w14:textId="77777777" w:rsidR="004572C0" w:rsidRDefault="00000000">
            <w:pPr>
              <w:spacing w:before="60" w:after="60"/>
            </w:pPr>
            <w:r>
              <w:t>Loss of footage through equipment failure</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A" w14:textId="77777777" w:rsidR="004572C0" w:rsidRDefault="00000000">
            <w:pPr>
              <w:spacing w:before="60" w:after="60"/>
            </w:pPr>
            <w:r>
              <w:t>Medium</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B" w14:textId="77777777" w:rsidR="004572C0" w:rsidRDefault="00000000">
            <w:pPr>
              <w:spacing w:before="60" w:after="60"/>
            </w:pPr>
            <w:r>
              <w:t>Low</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C" w14:textId="77777777" w:rsidR="004572C0" w:rsidRDefault="00000000">
            <w:pPr>
              <w:spacing w:before="60" w:after="60"/>
            </w:pPr>
            <w:r>
              <w:t>System tested quarterly; annual service contract with the installer; UPS backup power on the recorder.</w:t>
            </w:r>
          </w:p>
        </w:tc>
      </w:tr>
      <w:tr w:rsidR="004572C0" w14:paraId="3DCDC5A2"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E" w14:textId="77777777" w:rsidR="004572C0" w:rsidRDefault="00000000">
            <w:pPr>
              <w:spacing w:before="60" w:after="60"/>
            </w:pPr>
            <w:r>
              <w:t>Residents feel surveilled or experience loss of dignity</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9F" w14:textId="77777777" w:rsidR="004572C0" w:rsidRDefault="00000000">
            <w:pPr>
              <w:spacing w:before="60" w:after="60"/>
            </w:pPr>
            <w:r>
              <w:t>Medium</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0" w14:textId="77777777" w:rsidR="004572C0" w:rsidRDefault="00000000">
            <w:pPr>
              <w:spacing w:before="60" w:after="60"/>
            </w:pPr>
            <w:r>
              <w:t>Medium</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1" w14:textId="77777777" w:rsidR="004572C0" w:rsidRDefault="00000000">
            <w:pPr>
              <w:spacing w:before="60" w:after="60"/>
            </w:pPr>
            <w:r>
              <w:t>Cameras only in communal and functional areas; never in bedrooms, bathrooms or private areas; transparent signage; full consultation carried out before the new cameras went live; right to object and SAR rights explained in plain English.</w:t>
            </w:r>
          </w:p>
        </w:tc>
      </w:tr>
      <w:tr w:rsidR="004572C0" w14:paraId="3DCDC5A7"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3" w14:textId="77777777" w:rsidR="004572C0" w:rsidRDefault="00000000">
            <w:pPr>
              <w:spacing w:before="60" w:after="60"/>
            </w:pPr>
            <w:r>
              <w:t>Retention beyond necessity</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4" w14:textId="77777777" w:rsidR="004572C0" w:rsidRDefault="00000000">
            <w:pPr>
              <w:spacing w:before="60" w:after="60"/>
            </w:pPr>
            <w:r>
              <w:t>Low</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5" w14:textId="77777777" w:rsidR="004572C0" w:rsidRDefault="00000000">
            <w:pPr>
              <w:spacing w:before="60" w:after="60"/>
            </w:pPr>
            <w:r>
              <w:t>Medium</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6" w14:textId="77777777" w:rsidR="004572C0" w:rsidRDefault="00000000">
            <w:pPr>
              <w:spacing w:before="60" w:after="60"/>
            </w:pPr>
            <w:r>
              <w:t>Automatic overwrite at 30 days; retention extensions require written authorisation and are time-limited with a review date (Document 17 — Incident Footage Extraction Log).</w:t>
            </w:r>
          </w:p>
        </w:tc>
      </w:tr>
      <w:tr w:rsidR="004572C0" w14:paraId="3DCDC5AC"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8" w14:textId="77777777" w:rsidR="004572C0" w:rsidRDefault="00000000">
            <w:pPr>
              <w:spacing w:before="60" w:after="60"/>
            </w:pPr>
            <w:r>
              <w:t>Footage misused (e.g. shared socially)</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9" w14:textId="77777777" w:rsidR="004572C0" w:rsidRDefault="00000000">
            <w:pPr>
              <w:spacing w:before="60" w:after="60"/>
            </w:pPr>
            <w:r>
              <w:t>Low</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A" w14:textId="77777777" w:rsidR="004572C0" w:rsidRDefault="00000000">
            <w:pPr>
              <w:spacing w:before="60" w:after="60"/>
            </w:pPr>
            <w:r>
              <w:t>High</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B" w14:textId="77777777" w:rsidR="004572C0" w:rsidRDefault="00000000">
            <w:pPr>
              <w:spacing w:before="60" w:after="60"/>
            </w:pPr>
            <w:r>
              <w:t>Written staff CCTV Policy signed by every staff member with disciplinary consequences (Document 20); contractual obligations on contractors; no personal device access to footage; exit interviews remind leavers of ongoing duty of confidentiality.</w:t>
            </w:r>
          </w:p>
        </w:tc>
      </w:tr>
      <w:tr w:rsidR="004572C0" w14:paraId="3DCDC5B1"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D" w14:textId="77777777" w:rsidR="004572C0" w:rsidRDefault="00000000">
            <w:pPr>
              <w:spacing w:before="60" w:after="60"/>
            </w:pPr>
            <w:r>
              <w:t>Staff feel monitored for performance</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E" w14:textId="77777777" w:rsidR="004572C0" w:rsidRDefault="00000000">
            <w:pPr>
              <w:spacing w:before="60" w:after="60"/>
            </w:pPr>
            <w:r>
              <w:t>Medium</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AF" w14:textId="77777777" w:rsidR="004572C0" w:rsidRDefault="00000000">
            <w:pPr>
              <w:spacing w:before="60" w:after="60"/>
            </w:pPr>
            <w:r>
              <w:t>Medium</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0" w14:textId="77777777" w:rsidR="004572C0" w:rsidRDefault="00000000">
            <w:pPr>
              <w:spacing w:before="60" w:after="60"/>
            </w:pPr>
            <w:r>
              <w:t>Staff consultation explicitly addresses this; the Policy states CCTV is NOT used for performance monitoring; cameras are reviewed only for specific incident or safeguarding purposes; grievance route preserved.</w:t>
            </w:r>
          </w:p>
        </w:tc>
      </w:tr>
      <w:tr w:rsidR="004572C0" w14:paraId="3DCDC5B6"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2" w14:textId="77777777" w:rsidR="004572C0" w:rsidRDefault="00000000">
            <w:pPr>
              <w:spacing w:before="60" w:after="60"/>
            </w:pPr>
            <w:r>
              <w:t>Medication-room footage misused (e.g. in a staff dispute)</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3" w14:textId="77777777" w:rsidR="004572C0" w:rsidRDefault="00000000">
            <w:pPr>
              <w:spacing w:before="60" w:after="60"/>
            </w:pPr>
            <w:r>
              <w:t>Low</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4" w14:textId="77777777" w:rsidR="004572C0" w:rsidRDefault="00000000">
            <w:pPr>
              <w:spacing w:before="60" w:after="60"/>
            </w:pPr>
            <w:r>
              <w:t>High</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5" w14:textId="77777777" w:rsidR="004572C0" w:rsidRDefault="00000000">
            <w:pPr>
              <w:spacing w:before="60" w:after="60"/>
            </w:pPr>
            <w:r>
              <w:t>Medication room footage is accessed only on a named incident basis; access is logged; any use in a staff matter must be authorised by the Registered Manager in writing and follow the disciplinary procedure; staff have a right of reply.</w:t>
            </w:r>
          </w:p>
        </w:tc>
      </w:tr>
      <w:tr w:rsidR="004572C0" w14:paraId="3DCDC5BB"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7" w14:textId="77777777" w:rsidR="004572C0" w:rsidRDefault="00000000">
            <w:pPr>
              <w:spacing w:before="60" w:after="60"/>
            </w:pPr>
            <w:r>
              <w:t>Clinical / special-category data inadvertently captured</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8" w14:textId="77777777" w:rsidR="004572C0" w:rsidRDefault="00000000">
            <w:pPr>
              <w:spacing w:before="60" w:after="60"/>
            </w:pPr>
            <w:r>
              <w:t>Medium</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9" w14:textId="77777777" w:rsidR="004572C0" w:rsidRDefault="00000000">
            <w:pPr>
              <w:spacing w:before="60" w:after="60"/>
            </w:pPr>
            <w:r>
              <w:t>Medium</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A" w14:textId="77777777" w:rsidR="004572C0" w:rsidRDefault="00000000">
            <w:pPr>
              <w:spacing w:before="60" w:after="60"/>
            </w:pPr>
            <w:r>
              <w:t>Article 9(2)(h) condition documented; footage is not shared externally except under lawful basis; clinicians informed of camera locations; treatment rooms excluded from coverage.</w:t>
            </w:r>
          </w:p>
        </w:tc>
      </w:tr>
      <w:tr w:rsidR="004572C0" w14:paraId="3DCDC5C0"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C" w14:textId="77777777" w:rsidR="004572C0" w:rsidRDefault="00000000">
            <w:pPr>
              <w:spacing w:before="60" w:after="60"/>
            </w:pPr>
            <w:r>
              <w:t>Breach not reported within 72 hours</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D" w14:textId="77777777" w:rsidR="004572C0" w:rsidRDefault="00000000">
            <w:pPr>
              <w:spacing w:before="60" w:after="60"/>
            </w:pPr>
            <w:r>
              <w:t>Low</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E" w14:textId="77777777" w:rsidR="004572C0" w:rsidRDefault="00000000">
            <w:pPr>
              <w:spacing w:before="60" w:after="60"/>
            </w:pPr>
            <w:r>
              <w:t>High</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BF" w14:textId="77777777" w:rsidR="004572C0" w:rsidRDefault="00000000">
            <w:pPr>
              <w:spacing w:before="60" w:after="60"/>
            </w:pPr>
            <w:r>
              <w:t>Breach reporting procedure in place; the Director / Data Protection Lead holds on-</w:t>
            </w:r>
            <w:r>
              <w:lastRenderedPageBreak/>
              <w:t>call responsibility; the ICO 72-hour reporting duty is documented in the Policy; the breach log (Document 23) is reviewed monthly.</w:t>
            </w:r>
          </w:p>
        </w:tc>
      </w:tr>
      <w:tr w:rsidR="004572C0" w14:paraId="3DCDC5C5"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C1" w14:textId="77777777" w:rsidR="004572C0" w:rsidRDefault="00000000">
            <w:pPr>
              <w:spacing w:before="60" w:after="60"/>
            </w:pPr>
            <w:r>
              <w:lastRenderedPageBreak/>
              <w:t>Retrospective coverage of existing cameras raises compliance questions</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C2" w14:textId="77777777" w:rsidR="004572C0" w:rsidRDefault="00000000">
            <w:pPr>
              <w:spacing w:before="60" w:after="60"/>
            </w:pPr>
            <w:r>
              <w:t>Medium</w:t>
            </w:r>
          </w:p>
        </w:tc>
        <w:tc>
          <w:tcPr>
            <w:tcW w:w="11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C3" w14:textId="77777777" w:rsidR="004572C0" w:rsidRDefault="00000000">
            <w:pPr>
              <w:spacing w:before="60" w:after="60"/>
            </w:pPr>
            <w:r>
              <w:t>Medium</w:t>
            </w:r>
          </w:p>
        </w:tc>
        <w:tc>
          <w:tcPr>
            <w:tcW w:w="47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C4" w14:textId="77777777" w:rsidR="004572C0" w:rsidRDefault="00000000">
            <w:pPr>
              <w:spacing w:before="60" w:after="60"/>
            </w:pPr>
            <w:r>
              <w:t>This DPIA formally documents the existing cameras alongside the new installation; staff consultation explicitly covers the full inventory; families informed via welcome pack update; first annual review scheduled at April 2027 to confirm ongoing compliance.</w:t>
            </w:r>
          </w:p>
        </w:tc>
      </w:tr>
    </w:tbl>
    <w:p w14:paraId="3DCDC5C6" w14:textId="77777777" w:rsidR="004572C0" w:rsidRDefault="004572C0">
      <w:pPr>
        <w:spacing w:before="40" w:after="40"/>
      </w:pPr>
    </w:p>
    <w:p w14:paraId="3DCDC5C7" w14:textId="77777777" w:rsidR="004572C0" w:rsidRDefault="00000000">
      <w:pPr>
        <w:pStyle w:val="Heading1"/>
      </w:pPr>
      <w:r>
        <w:t>5. OUTCOME AND SIGN-OFF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4572C0" w14:paraId="3DCDC5CA"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5C8" w14:textId="77777777" w:rsidR="004572C0" w:rsidRDefault="00000000">
            <w:pPr>
              <w:spacing w:before="60" w:after="60"/>
            </w:pPr>
            <w:r>
              <w:rPr>
                <w:b/>
                <w:bCs/>
              </w:rPr>
              <w:t>Residual risk rating</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C9" w14:textId="77777777" w:rsidR="004572C0" w:rsidRDefault="00000000">
            <w:pPr>
              <w:spacing w:before="60" w:after="60"/>
            </w:pPr>
            <w:r>
              <w:t>LOW (following mitigations above)</w:t>
            </w:r>
          </w:p>
        </w:tc>
      </w:tr>
      <w:tr w:rsidR="004572C0" w14:paraId="3DCDC5CD"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5CB" w14:textId="77777777" w:rsidR="004572C0" w:rsidRDefault="00000000">
            <w:pPr>
              <w:spacing w:before="60" w:after="60"/>
            </w:pPr>
            <w:r>
              <w:rPr>
                <w:b/>
                <w:bCs/>
              </w:rPr>
              <w:t>Is prior consultation with ICO required?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CC" w14:textId="77777777" w:rsidR="004572C0" w:rsidRDefault="00000000">
            <w:pPr>
              <w:spacing w:before="60" w:after="60"/>
            </w:pPr>
            <w:r>
              <w:t>NO — residual risks are judged low following mitigations. (Article 36 consultation with the ICO is required only where residual risk remains HIGH after mitigation.)</w:t>
            </w:r>
          </w:p>
        </w:tc>
      </w:tr>
      <w:tr w:rsidR="004572C0" w14:paraId="3DCDC5D0"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5CE" w14:textId="77777777" w:rsidR="004572C0" w:rsidRDefault="00000000">
            <w:pPr>
              <w:spacing w:before="60" w:after="60"/>
            </w:pPr>
            <w:r>
              <w:rPr>
                <w:b/>
                <w:bCs/>
              </w:rPr>
              <w:t>Proceed with processing?</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CF" w14:textId="77777777" w:rsidR="004572C0" w:rsidRDefault="00000000">
            <w:pPr>
              <w:spacing w:before="60" w:after="60"/>
            </w:pPr>
            <w:r>
              <w:t>YES — subject to the controls set out in this DPIA, the CCTV Policy and the LIA.</w:t>
            </w:r>
          </w:p>
        </w:tc>
      </w:tr>
      <w:tr w:rsidR="004572C0" w14:paraId="3DCDC5D3"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5D1" w14:textId="77777777" w:rsidR="004572C0" w:rsidRDefault="00000000">
            <w:pPr>
              <w:spacing w:before="60" w:after="60"/>
            </w:pPr>
            <w:r>
              <w:rPr>
                <w:b/>
                <w:bCs/>
              </w:rPr>
              <w:t>Approval date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D2" w14:textId="77777777" w:rsidR="004572C0" w:rsidRDefault="00000000">
            <w:pPr>
              <w:spacing w:before="60" w:after="60"/>
            </w:pPr>
            <w:r>
              <w:t>April 2026</w:t>
            </w:r>
          </w:p>
        </w:tc>
      </w:tr>
      <w:tr w:rsidR="004572C0" w14:paraId="3DCDC5D6"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3DCDC5D4" w14:textId="77777777" w:rsidR="004572C0" w:rsidRDefault="00000000">
            <w:pPr>
              <w:spacing w:before="60" w:after="60"/>
            </w:pPr>
            <w:r>
              <w:rPr>
                <w:b/>
                <w:bCs/>
              </w:rPr>
              <w:t>Next review</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D5" w14:textId="77777777" w:rsidR="004572C0" w:rsidRDefault="00000000">
            <w:pPr>
              <w:spacing w:before="60" w:after="60"/>
            </w:pPr>
            <w:r>
              <w:t>April 2027, or on material change to the system or its use</w:t>
            </w:r>
          </w:p>
        </w:tc>
      </w:tr>
    </w:tbl>
    <w:p w14:paraId="3DCDC5D7" w14:textId="77777777" w:rsidR="004572C0" w:rsidRDefault="004572C0">
      <w:pPr>
        <w:spacing w:before="40" w:after="40"/>
      </w:pPr>
    </w:p>
    <w:p w14:paraId="3DCDC5D8" w14:textId="77777777" w:rsidR="004572C0" w:rsidRDefault="00000000">
      <w:pPr>
        <w:pStyle w:val="Heading2"/>
      </w:pPr>
      <w:r>
        <w:t>Sign-off</w:t>
      </w:r>
    </w:p>
    <w:p w14:paraId="3DCDC5D9" w14:textId="77777777" w:rsidR="004572C0" w:rsidRDefault="00000000">
      <w:pPr>
        <w:spacing w:before="60" w:after="60"/>
      </w:pPr>
      <w:r>
        <w:t>Both directors of SBS-Services Limited approve this DPIA on behalf of the company. The Registered Manager confirms operational ownership.</w:t>
      </w:r>
    </w:p>
    <w:p w14:paraId="3DCDC5DA" w14:textId="77777777" w:rsidR="004572C0" w:rsidRDefault="004572C0">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1"/>
        <w:gridCol w:w="2210"/>
        <w:gridCol w:w="2850"/>
        <w:gridCol w:w="1749"/>
      </w:tblGrid>
      <w:tr w:rsidR="004572C0" w14:paraId="3DCDC5DF"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DB" w14:textId="77777777" w:rsidR="004572C0" w:rsidRDefault="00000000">
            <w:r>
              <w:rPr>
                <w:b/>
                <w:bCs/>
              </w:rPr>
              <w:t>Role</w:t>
            </w:r>
          </w:p>
        </w:tc>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DC" w14:textId="77777777" w:rsidR="004572C0" w:rsidRDefault="00000000">
            <w:r>
              <w:rPr>
                <w:b/>
                <w:bCs/>
              </w:rPr>
              <w:t>Name</w:t>
            </w:r>
          </w:p>
        </w:tc>
        <w:tc>
          <w:tcPr>
            <w:tcW w:w="236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DD" w14:textId="77777777" w:rsidR="004572C0" w:rsidRDefault="00000000">
            <w:r>
              <w:rPr>
                <w:b/>
                <w:bCs/>
              </w:rPr>
              <w:t>Signature</w:t>
            </w:r>
          </w:p>
        </w:tc>
        <w:tc>
          <w:tcPr>
            <w:tcW w:w="16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DCDC5DE" w14:textId="77777777" w:rsidR="004572C0" w:rsidRDefault="00000000">
            <w:r>
              <w:rPr>
                <w:b/>
                <w:bCs/>
              </w:rPr>
              <w:t>Date</w:t>
            </w:r>
          </w:p>
        </w:tc>
      </w:tr>
      <w:tr w:rsidR="004572C0" w14:paraId="3DCDC5E4"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0" w14:textId="77777777" w:rsidR="004572C0" w:rsidRDefault="00000000">
            <w:pPr>
              <w:spacing w:before="60" w:after="60"/>
            </w:pPr>
            <w:r>
              <w:t>Director (Data Protection Lead)</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1" w14:textId="77777777" w:rsidR="004572C0" w:rsidRDefault="00000000">
            <w:pPr>
              <w:spacing w:before="60" w:after="60"/>
            </w:pPr>
            <w:r>
              <w:t>Hinesh Patel</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2" w14:textId="77777777" w:rsidR="004572C0"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3" w14:textId="77777777" w:rsidR="004572C0" w:rsidRDefault="00000000">
            <w:pPr>
              <w:spacing w:before="60" w:after="60"/>
            </w:pPr>
            <w:r>
              <w:t>____________</w:t>
            </w:r>
          </w:p>
        </w:tc>
      </w:tr>
      <w:tr w:rsidR="004572C0" w14:paraId="3DCDC5E9"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5" w14:textId="77777777" w:rsidR="004572C0" w:rsidRDefault="00000000">
            <w:pPr>
              <w:spacing w:before="60" w:after="60"/>
            </w:pPr>
            <w:r>
              <w:t>Director</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6" w14:textId="77777777" w:rsidR="004572C0" w:rsidRDefault="00000000">
            <w:pPr>
              <w:spacing w:before="60" w:after="60"/>
            </w:pPr>
            <w:r>
              <w:t>Sam Balasundaram</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7" w14:textId="77777777" w:rsidR="004572C0"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8" w14:textId="77777777" w:rsidR="004572C0" w:rsidRDefault="00000000">
            <w:pPr>
              <w:spacing w:before="60" w:after="60"/>
            </w:pPr>
            <w:r>
              <w:t>____________</w:t>
            </w:r>
          </w:p>
        </w:tc>
      </w:tr>
      <w:tr w:rsidR="004572C0" w14:paraId="3DCDC5EE"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A" w14:textId="77777777" w:rsidR="004572C0" w:rsidRDefault="00000000">
            <w:pPr>
              <w:spacing w:before="60" w:after="60"/>
            </w:pPr>
            <w:r>
              <w:t>Registered Manager</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B" w14:textId="77777777" w:rsidR="004572C0" w:rsidRDefault="00000000">
            <w:pPr>
              <w:spacing w:before="60" w:after="60"/>
            </w:pPr>
            <w:r>
              <w:t>Andrea Tomkins</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C" w14:textId="77777777" w:rsidR="004572C0"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DCDC5ED" w14:textId="77777777" w:rsidR="004572C0" w:rsidRDefault="00000000">
            <w:pPr>
              <w:spacing w:before="60" w:after="60"/>
            </w:pPr>
            <w:r>
              <w:t>____________</w:t>
            </w:r>
          </w:p>
        </w:tc>
      </w:tr>
    </w:tbl>
    <w:p w14:paraId="3DCDC5EF" w14:textId="77777777" w:rsidR="004572C0" w:rsidRDefault="004572C0">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572C0" w14:paraId="3DCDC5F1"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3DCDC5F0" w14:textId="77777777" w:rsidR="004572C0" w:rsidRDefault="00000000">
            <w:pPr>
              <w:spacing w:before="60" w:after="60"/>
            </w:pPr>
            <w:r>
              <w:rPr>
                <w:b/>
                <w:bCs/>
              </w:rPr>
              <w:t>RETENTION.</w:t>
            </w:r>
            <w:r>
              <w:t xml:space="preserve"> This DPIA must be retained on file for the lifetime of the CCTV system plus 6 years and produced on request to the Information Commissioner's Office or the Care Quality Commission. After the consultation window closes (8 May 2026), update Section 2 with the consultation summary and re-sign the DPIA before the new cameras go live.</w:t>
            </w:r>
          </w:p>
        </w:tc>
      </w:tr>
    </w:tbl>
    <w:p w14:paraId="3DCDC5F2" w14:textId="77777777" w:rsidR="00BB1FC3" w:rsidRDefault="00BB1FC3"/>
    <w:sectPr w:rsidR="00BB1FC3">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42F4"/>
    <w:multiLevelType w:val="hybridMultilevel"/>
    <w:tmpl w:val="B0D2038C"/>
    <w:lvl w:ilvl="0" w:tplc="8C2AA1BA">
      <w:start w:val="1"/>
      <w:numFmt w:val="bullet"/>
      <w:lvlText w:val="•"/>
      <w:lvlJc w:val="left"/>
      <w:pPr>
        <w:ind w:left="720" w:hanging="360"/>
      </w:pPr>
    </w:lvl>
    <w:lvl w:ilvl="1" w:tplc="CD082B42">
      <w:numFmt w:val="decimal"/>
      <w:lvlText w:val=""/>
      <w:lvlJc w:val="left"/>
    </w:lvl>
    <w:lvl w:ilvl="2" w:tplc="F4EA34BC">
      <w:numFmt w:val="decimal"/>
      <w:lvlText w:val=""/>
      <w:lvlJc w:val="left"/>
    </w:lvl>
    <w:lvl w:ilvl="3" w:tplc="5E10F5BC">
      <w:numFmt w:val="decimal"/>
      <w:lvlText w:val=""/>
      <w:lvlJc w:val="left"/>
    </w:lvl>
    <w:lvl w:ilvl="4" w:tplc="F5B4C3C2">
      <w:numFmt w:val="decimal"/>
      <w:lvlText w:val=""/>
      <w:lvlJc w:val="left"/>
    </w:lvl>
    <w:lvl w:ilvl="5" w:tplc="5FB644EE">
      <w:numFmt w:val="decimal"/>
      <w:lvlText w:val=""/>
      <w:lvlJc w:val="left"/>
    </w:lvl>
    <w:lvl w:ilvl="6" w:tplc="C284E34A">
      <w:numFmt w:val="decimal"/>
      <w:lvlText w:val=""/>
      <w:lvlJc w:val="left"/>
    </w:lvl>
    <w:lvl w:ilvl="7" w:tplc="08BA31D0">
      <w:numFmt w:val="decimal"/>
      <w:lvlText w:val=""/>
      <w:lvlJc w:val="left"/>
    </w:lvl>
    <w:lvl w:ilvl="8" w:tplc="8774CF2C">
      <w:numFmt w:val="decimal"/>
      <w:lvlText w:val=""/>
      <w:lvlJc w:val="left"/>
    </w:lvl>
  </w:abstractNum>
  <w:abstractNum w:abstractNumId="1" w15:restartNumberingAfterBreak="0">
    <w:nsid w:val="1A06045A"/>
    <w:multiLevelType w:val="hybridMultilevel"/>
    <w:tmpl w:val="21263054"/>
    <w:lvl w:ilvl="0" w:tplc="5664A23C">
      <w:start w:val="1"/>
      <w:numFmt w:val="bullet"/>
      <w:lvlText w:val="●"/>
      <w:lvlJc w:val="left"/>
      <w:pPr>
        <w:ind w:left="720" w:hanging="360"/>
      </w:pPr>
    </w:lvl>
    <w:lvl w:ilvl="1" w:tplc="558A0ABE">
      <w:start w:val="1"/>
      <w:numFmt w:val="bullet"/>
      <w:lvlText w:val="○"/>
      <w:lvlJc w:val="left"/>
      <w:pPr>
        <w:ind w:left="1440" w:hanging="360"/>
      </w:pPr>
    </w:lvl>
    <w:lvl w:ilvl="2" w:tplc="97DE8CAE">
      <w:start w:val="1"/>
      <w:numFmt w:val="bullet"/>
      <w:lvlText w:val="■"/>
      <w:lvlJc w:val="left"/>
      <w:pPr>
        <w:ind w:left="2160" w:hanging="360"/>
      </w:pPr>
    </w:lvl>
    <w:lvl w:ilvl="3" w:tplc="97949A7C">
      <w:start w:val="1"/>
      <w:numFmt w:val="bullet"/>
      <w:lvlText w:val="●"/>
      <w:lvlJc w:val="left"/>
      <w:pPr>
        <w:ind w:left="2880" w:hanging="360"/>
      </w:pPr>
    </w:lvl>
    <w:lvl w:ilvl="4" w:tplc="01C2DB12">
      <w:start w:val="1"/>
      <w:numFmt w:val="bullet"/>
      <w:lvlText w:val="○"/>
      <w:lvlJc w:val="left"/>
      <w:pPr>
        <w:ind w:left="3600" w:hanging="360"/>
      </w:pPr>
    </w:lvl>
    <w:lvl w:ilvl="5" w:tplc="D51E9BDE">
      <w:start w:val="1"/>
      <w:numFmt w:val="bullet"/>
      <w:lvlText w:val="■"/>
      <w:lvlJc w:val="left"/>
      <w:pPr>
        <w:ind w:left="4320" w:hanging="360"/>
      </w:pPr>
    </w:lvl>
    <w:lvl w:ilvl="6" w:tplc="324C037C">
      <w:start w:val="1"/>
      <w:numFmt w:val="bullet"/>
      <w:lvlText w:val="●"/>
      <w:lvlJc w:val="left"/>
      <w:pPr>
        <w:ind w:left="5040" w:hanging="360"/>
      </w:pPr>
    </w:lvl>
    <w:lvl w:ilvl="7" w:tplc="E4BEF68C">
      <w:start w:val="1"/>
      <w:numFmt w:val="bullet"/>
      <w:lvlText w:val="●"/>
      <w:lvlJc w:val="left"/>
      <w:pPr>
        <w:ind w:left="5760" w:hanging="360"/>
      </w:pPr>
    </w:lvl>
    <w:lvl w:ilvl="8" w:tplc="1DB882C6">
      <w:start w:val="1"/>
      <w:numFmt w:val="bullet"/>
      <w:lvlText w:val="●"/>
      <w:lvlJc w:val="left"/>
      <w:pPr>
        <w:ind w:left="6480" w:hanging="360"/>
      </w:pPr>
    </w:lvl>
  </w:abstractNum>
  <w:num w:numId="1" w16cid:durableId="5722773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C0"/>
    <w:rsid w:val="004572C0"/>
    <w:rsid w:val="00BB1FC3"/>
    <w:rsid w:val="00EF452F"/>
    <w:rsid w:val="00FE0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C4DF"/>
  <w15:docId w15:val="{E6409BFE-2D43-49A3-B3B1-D7051A59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DPIA</dc:title>
  <dc:creator>SBS-Services Limited (Birkdale Village Care Home)</dc:creator>
  <cp:lastModifiedBy>Hinesh Patel</cp:lastModifiedBy>
  <cp:revision>2</cp:revision>
  <dcterms:created xsi:type="dcterms:W3CDTF">2026-05-03T15:46:00Z</dcterms:created>
  <dcterms:modified xsi:type="dcterms:W3CDTF">2026-05-03T15:59:00Z</dcterms:modified>
</cp:coreProperties>
</file>