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Compliance Document Tracker</w:t>
            </w:r>
          </w:p>
          <w:p>
            <w:pPr>
              <w:spacing w:after="60" w:before="60"/>
            </w:pPr>
            <w:r>
              <w:rPr>
                <w:rFonts w:ascii="Arial" w:cs="Arial" w:eastAsia="Arial" w:hAnsi="Arial"/>
                <w:sz w:val="22"/>
                <w:szCs w:val="22"/>
              </w:rPr>
              <w:t xml:space="preserve">Master register of every portal &amp; CCTV compliance document</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PURPOSE.</w:t>
            </w:r>
            <w:r>
              <w:rPr>
                <w:rFonts w:ascii="Arial" w:cs="Arial" w:eastAsia="Arial" w:hAnsi="Arial"/>
              </w:rPr>
              <w:t xml:space="preserve"> This tracker is the single index of every compliance document covering the portal and the CCTV system. Use it to verify that every required document exists, who owns it, when it was last reviewed, and when the next review is due. Keep this document at the front of the Compliance folder. Update whenever a document is added, replaced or reviewed.</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1 — WHAT THIS TRACKER COVERS</w:t>
      </w:r>
    </w:p>
    <w:p>
      <w:pPr>
        <w:spacing w:after="60" w:before="60"/>
      </w:pPr>
      <w:r>
        <w:rPr>
          <w:rFonts w:ascii="Arial" w:cs="Arial" w:eastAsia="Arial" w:hAnsi="Arial"/>
        </w:rPr>
        <w:t xml:space="preserve">This tracker covers compliance documents for the technology side of the business — the digital portal and the CCTV system. It does NOT cover:</w:t>
      </w:r>
    </w:p>
    <w:p>
      <w:pPr>
        <w:pStyle w:val="ListParagraph"/>
        <w:numPr>
          <w:ilvl w:val="0"/>
          <w:numId w:val="2"/>
        </w:numPr>
        <w:spacing w:after="40" w:before="40"/>
      </w:pPr>
      <w:r>
        <w:rPr>
          <w:rFonts w:ascii="Arial" w:cs="Arial" w:eastAsia="Arial" w:hAnsi="Arial"/>
        </w:rPr>
        <w:t xml:space="preserve">Standard CQC operational policies (covered separately by your QCS subscription — Safeguarding, Whistleblowing, Medication, Infection Control, etc.)</w:t>
      </w:r>
    </w:p>
    <w:p>
      <w:pPr>
        <w:pStyle w:val="ListParagraph"/>
        <w:numPr>
          <w:ilvl w:val="0"/>
          <w:numId w:val="2"/>
        </w:numPr>
        <w:spacing w:after="40" w:before="40"/>
      </w:pPr>
      <w:r>
        <w:rPr>
          <w:rFonts w:ascii="Arial" w:cs="Arial" w:eastAsia="Arial" w:hAnsi="Arial"/>
        </w:rPr>
        <w:t xml:space="preserve">HR policies (covered by your existing employment contracts and staff handbook)</w:t>
      </w:r>
    </w:p>
    <w:p>
      <w:pPr>
        <w:pStyle w:val="ListParagraph"/>
        <w:numPr>
          <w:ilvl w:val="0"/>
          <w:numId w:val="2"/>
        </w:numPr>
        <w:spacing w:after="40" w:before="40"/>
      </w:pPr>
      <w:r>
        <w:rPr>
          <w:rFonts w:ascii="Arial" w:cs="Arial" w:eastAsia="Arial" w:hAnsi="Arial"/>
        </w:rPr>
        <w:t xml:space="preserve">Clinical assessments (handled in Person Centred Software)</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2 — MASTER DOCUMENT REGISTER</w:t>
      </w:r>
    </w:p>
    <w:p>
      <w:pPr>
        <w:pStyle w:val="Heading2"/>
        <w:spacing w:after="120" w:before="240"/>
      </w:pPr>
      <w:r>
        <w:rPr>
          <w:rFonts w:ascii="Arial" w:cs="Arial" w:eastAsia="Arial" w:hAnsi="Arial"/>
          <w:b/>
          <w:bCs/>
          <w:sz w:val="26"/>
          <w:szCs w:val="26"/>
        </w:rPr>
        <w:t xml:space="preserve">Group A — Portal data protection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060"/>
        <w:gridCol w:w="2400"/>
        <w:gridCol w:w="1300"/>
        <w:gridCol w:w="1000"/>
      </w:tblGrid>
      <w:tr>
        <w:tc>
          <w:tcPr>
            <w:tcW w:type="dxa" w:w="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t>
            </w:r>
          </w:p>
        </w:tc>
        <w:tc>
          <w:tcPr>
            <w:tcW w:type="dxa" w:w="40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Document</w:t>
            </w:r>
          </w:p>
        </w:tc>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Status</w:t>
            </w:r>
          </w:p>
        </w:tc>
        <w:tc>
          <w:tcPr>
            <w:tcW w:type="dxa" w:w="13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Last review</w:t>
            </w:r>
          </w:p>
        </w:tc>
        <w:tc>
          <w:tcPr>
            <w:tcW w:type="dxa" w:w="10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Next review</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A1</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Protection Policy</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needs Controller correction (see Consolidation Sheet)</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02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A2</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Portal DPIA (DPIA/PORTAL/001)</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 produced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A3</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Portal ROPA (UK GDPR Art 30)</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 produced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A4</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Portal Security Summary v8</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produced 30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30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A5</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Job Applicant Privacy Notice</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 produced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A6</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Family Portal Privacy Notice</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 produced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A7</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Director Confidential Guide v8</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updated 30 Apr 2026 with Section 9 Security Overview</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30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A8</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Digital Infrastructure Summary v8</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updated 30 Apr 2026 with Section 6 Infrastructure Security</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30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Group B — CCTV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060"/>
        <w:gridCol w:w="2400"/>
        <w:gridCol w:w="1300"/>
        <w:gridCol w:w="1000"/>
      </w:tblGrid>
      <w:tr>
        <w:tc>
          <w:tcPr>
            <w:tcW w:type="dxa" w:w="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t>
            </w:r>
          </w:p>
        </w:tc>
        <w:tc>
          <w:tcPr>
            <w:tcW w:type="dxa" w:w="40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Document</w:t>
            </w:r>
          </w:p>
        </w:tc>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Status</w:t>
            </w:r>
          </w:p>
        </w:tc>
        <w:tc>
          <w:tcPr>
            <w:tcW w:type="dxa" w:w="13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Last review</w:t>
            </w:r>
          </w:p>
        </w:tc>
        <w:tc>
          <w:tcPr>
            <w:tcW w:type="dxa" w:w="10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Next review</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B1</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Policy (whole site)</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needs Controller correction (see Consolidation Sheet)</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23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B2</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DPIA (DPIA/CCTV/001)</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confirmed at 15 cameras (11 existing + 4 new); controller fix applied</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23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B3</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LIA</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needs controller + director sign-off update</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23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B4</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Family Consultation Letter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CRITICAL FIX REQUIRED ('2 cameras' → '4 cameras')</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24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 material change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B5</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Staff Consultation Notice</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needs '2 → 4 cameras' fix</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24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 material change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B6</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Implementation Action Plan</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internal working document</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23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After go-live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B7</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Simple Action Guide (plain English)</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minor controller-line update</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B8</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Compliance Pack</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DECISION: archive or merge — see Consolidation Sheet</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Existing</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N/A if archived</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B9</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Access Log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TEMPLATE in Policy Appendix B — start populating from Day 1 of go-live</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N/A — operational</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Weekly review</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B10</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Signage</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TO INSTALL — wording in Policy Appendix A</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Pending install</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Annual check</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Group C — Cross-cutting / governance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060"/>
        <w:gridCol w:w="2400"/>
        <w:gridCol w:w="1300"/>
        <w:gridCol w:w="1000"/>
      </w:tblGrid>
      <w:tr>
        <w:tc>
          <w:tcPr>
            <w:tcW w:type="dxa" w:w="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t>
            </w:r>
          </w:p>
        </w:tc>
        <w:tc>
          <w:tcPr>
            <w:tcW w:type="dxa" w:w="40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Document</w:t>
            </w:r>
          </w:p>
        </w:tc>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Status</w:t>
            </w:r>
          </w:p>
        </w:tc>
        <w:tc>
          <w:tcPr>
            <w:tcW w:type="dxa" w:w="13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Last review</w:t>
            </w:r>
          </w:p>
        </w:tc>
        <w:tc>
          <w:tcPr>
            <w:tcW w:type="dxa" w:w="10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Next review</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C1</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Compliance Document Tracker (this document)</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 produced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Quarterly</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C2</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Consolidation Sheet (corrections to existing docs)</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 produced Apr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Once corrections complete</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C3</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ICO Registration Certificate ZA400710</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RENEWAL DUE 07 JUNE 2026</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08 Jun 2018</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07 Jun 2026 — URGENT</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C4</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Supabase Data Processing Agreement</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Ref CQCLC-JBOTH-ABCZV-WKQI5</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02 Apr 2026</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C5</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Cloudflare Pro DPA</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by default — confirm copy on file</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Verify</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C6</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GitHub DPA</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by default — confirm copy on file</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Verify</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C7</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Anthropic DPA (AI scoring)</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TO OBTAIN before AI scoring is reactivated</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Pending</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 reactivation</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C8</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Person Centred Software DPA</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EXISTS — verify date</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Verify</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 2027</w:t>
            </w:r>
          </w:p>
        </w:tc>
      </w:tr>
      <w:tr>
        <w:tc>
          <w:tcPr>
            <w:tcW w:type="dxa" w:w="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C9</w:t>
            </w:r>
          </w:p>
        </w:tc>
        <w:tc>
          <w:tcPr>
            <w:tcW w:type="dxa" w:w="4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CLAUDE.md (technical recovery doc)</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EXISTS — restricted to Director laptop + GitHub</w:t>
            </w:r>
          </w:p>
        </w:tc>
        <w:tc>
          <w:tcPr>
            <w:tcW w:type="dxa" w:w="13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Updated continuously</w:t>
            </w:r>
          </w:p>
        </w:tc>
        <w:tc>
          <w:tcPr>
            <w:tcW w:type="dxa" w:w="10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 every change</w:t>
            </w:r>
          </w:p>
        </w:tc>
      </w:tr>
    </w:tbl>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Group D — Compliance documents handled by QCS subscription (no action by us)</w:t>
      </w:r>
    </w:p>
    <w:p>
      <w:pPr>
        <w:spacing w:after="60" w:before="60"/>
      </w:pPr>
      <w:r>
        <w:rPr>
          <w:rFonts w:ascii="Arial" w:cs="Arial" w:eastAsia="Arial" w:hAnsi="Arial"/>
        </w:rPr>
        <w:t xml:space="preserve">These documents come from QCS and are not duplicated here. We rely on QCS for:</w:t>
      </w:r>
    </w:p>
    <w:p>
      <w:pPr>
        <w:pStyle w:val="ListParagraph"/>
        <w:numPr>
          <w:ilvl w:val="0"/>
          <w:numId w:val="2"/>
        </w:numPr>
        <w:spacing w:after="40" w:before="40"/>
      </w:pPr>
      <w:r>
        <w:rPr>
          <w:rFonts w:ascii="Arial" w:cs="Arial" w:eastAsia="Arial" w:hAnsi="Arial"/>
        </w:rPr>
        <w:t xml:space="preserve">Safeguarding Adults Policy</w:t>
      </w:r>
    </w:p>
    <w:p>
      <w:pPr>
        <w:pStyle w:val="ListParagraph"/>
        <w:numPr>
          <w:ilvl w:val="0"/>
          <w:numId w:val="2"/>
        </w:numPr>
        <w:spacing w:after="40" w:before="40"/>
      </w:pPr>
      <w:r>
        <w:rPr>
          <w:rFonts w:ascii="Arial" w:cs="Arial" w:eastAsia="Arial" w:hAnsi="Arial"/>
        </w:rPr>
        <w:t xml:space="preserve">Whistleblowing Policy</w:t>
      </w:r>
    </w:p>
    <w:p>
      <w:pPr>
        <w:pStyle w:val="ListParagraph"/>
        <w:numPr>
          <w:ilvl w:val="0"/>
          <w:numId w:val="2"/>
        </w:numPr>
        <w:spacing w:after="40" w:before="40"/>
      </w:pPr>
      <w:r>
        <w:rPr>
          <w:rFonts w:ascii="Arial" w:cs="Arial" w:eastAsia="Arial" w:hAnsi="Arial"/>
        </w:rPr>
        <w:t xml:space="preserve">Medication Management Policy</w:t>
      </w:r>
    </w:p>
    <w:p>
      <w:pPr>
        <w:pStyle w:val="ListParagraph"/>
        <w:numPr>
          <w:ilvl w:val="0"/>
          <w:numId w:val="2"/>
        </w:numPr>
        <w:spacing w:after="40" w:before="40"/>
      </w:pPr>
      <w:r>
        <w:rPr>
          <w:rFonts w:ascii="Arial" w:cs="Arial" w:eastAsia="Arial" w:hAnsi="Arial"/>
        </w:rPr>
        <w:t xml:space="preserve">Infection Prevention &amp; Control</w:t>
      </w:r>
    </w:p>
    <w:p>
      <w:pPr>
        <w:pStyle w:val="ListParagraph"/>
        <w:numPr>
          <w:ilvl w:val="0"/>
          <w:numId w:val="2"/>
        </w:numPr>
        <w:spacing w:after="40" w:before="40"/>
      </w:pPr>
      <w:r>
        <w:rPr>
          <w:rFonts w:ascii="Arial" w:cs="Arial" w:eastAsia="Arial" w:hAnsi="Arial"/>
        </w:rPr>
        <w:t xml:space="preserve">Complaints Procedure</w:t>
      </w:r>
    </w:p>
    <w:p>
      <w:pPr>
        <w:pStyle w:val="ListParagraph"/>
        <w:numPr>
          <w:ilvl w:val="0"/>
          <w:numId w:val="2"/>
        </w:numPr>
        <w:spacing w:after="40" w:before="40"/>
      </w:pPr>
      <w:r>
        <w:rPr>
          <w:rFonts w:ascii="Arial" w:cs="Arial" w:eastAsia="Arial" w:hAnsi="Arial"/>
        </w:rPr>
        <w:t xml:space="preserve">Duty of Candour Statement</w:t>
      </w:r>
    </w:p>
    <w:p>
      <w:pPr>
        <w:pStyle w:val="ListParagraph"/>
        <w:numPr>
          <w:ilvl w:val="0"/>
          <w:numId w:val="2"/>
        </w:numPr>
        <w:spacing w:after="40" w:before="40"/>
      </w:pPr>
      <w:r>
        <w:rPr>
          <w:rFonts w:ascii="Arial" w:cs="Arial" w:eastAsia="Arial" w:hAnsi="Arial"/>
        </w:rPr>
        <w:t xml:space="preserve">Equality, Diversity &amp; Inclusion Policy</w:t>
      </w:r>
    </w:p>
    <w:p>
      <w:pPr>
        <w:pStyle w:val="ListParagraph"/>
        <w:numPr>
          <w:ilvl w:val="0"/>
          <w:numId w:val="2"/>
        </w:numPr>
        <w:spacing w:after="40" w:before="40"/>
      </w:pPr>
      <w:r>
        <w:rPr>
          <w:rFonts w:ascii="Arial" w:cs="Arial" w:eastAsia="Arial" w:hAnsi="Arial"/>
        </w:rPr>
        <w:t xml:space="preserve">Health &amp; Safety Policy</w:t>
      </w:r>
    </w:p>
    <w:p>
      <w:pPr>
        <w:pStyle w:val="ListParagraph"/>
        <w:numPr>
          <w:ilvl w:val="0"/>
          <w:numId w:val="2"/>
        </w:numPr>
        <w:spacing w:after="40" w:before="40"/>
      </w:pPr>
      <w:r>
        <w:rPr>
          <w:rFonts w:ascii="Arial" w:cs="Arial" w:eastAsia="Arial" w:hAnsi="Arial"/>
        </w:rPr>
        <w:t xml:space="preserve">Mental Capacity Act / DoLS Policy</w:t>
      </w:r>
    </w:p>
    <w:p>
      <w:pPr>
        <w:pStyle w:val="ListParagraph"/>
        <w:numPr>
          <w:ilvl w:val="0"/>
          <w:numId w:val="2"/>
        </w:numPr>
        <w:spacing w:after="40" w:before="40"/>
      </w:pPr>
      <w:r>
        <w:rPr>
          <w:rFonts w:ascii="Arial" w:cs="Arial" w:eastAsia="Arial" w:hAnsi="Arial"/>
        </w:rPr>
        <w:t xml:space="preserve">All other clinical and CQC fundamental standard policies</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FOR INSPECTION.</w:t>
            </w:r>
            <w:r>
              <w:rPr>
                <w:rFonts w:ascii="Arial" w:cs="Arial" w:eastAsia="Arial" w:hAnsi="Arial"/>
              </w:rPr>
              <w:t xml:space="preserve"> If CQC or ICO ask for a policy and it is in the QCS list above, retrieve it from the QCS portal — do not assume the inspector knows you use QCS. Always be ready to print and present.</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3 — IMMEDIATE ACTION ITEMS</w:t>
      </w:r>
    </w:p>
    <w:p>
      <w:pPr>
        <w:spacing w:after="60" w:before="60"/>
      </w:pPr>
      <w:r>
        <w:rPr>
          <w:rFonts w:ascii="Arial" w:cs="Arial" w:eastAsia="Arial" w:hAnsi="Arial"/>
        </w:rPr>
        <w:t xml:space="preserve">In priority order — do these items first.</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360"/>
        <w:gridCol w:w="1800"/>
        <w:gridCol w:w="1500"/>
        <w:gridCol w:w="1200"/>
      </w:tblGrid>
      <w:tr>
        <w:tc>
          <w:tcPr>
            <w:tcW w:type="dxa" w:w="5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t>
            </w:r>
          </w:p>
        </w:tc>
        <w:tc>
          <w:tcPr>
            <w:tcW w:type="dxa" w:w="43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Action</w:t>
            </w:r>
          </w:p>
        </w:tc>
        <w:tc>
          <w:tcPr>
            <w:tcW w:type="dxa" w:w="18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Deadline</w:t>
            </w:r>
          </w:p>
        </w:tc>
        <w:tc>
          <w:tcPr>
            <w:tcW w:type="dxa" w:w="15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Director</w:t>
            </w:r>
          </w:p>
        </w:tc>
        <w:tc>
          <w:tcPr>
            <w:tcW w:type="dxa" w:w="12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Done?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Fix the Family Consultation Letter — change '2 cameras' to '4 cameras' BEFORE any more letters are issued</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Immediate — before next mailing</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2</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Fix the Staff Consultation Notice — same '2 → 4 cameras' correction</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Immediate</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3</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Apply Consolidation Sheet corrections to all 9 existing documents (Data Protection Policy, CCTV Policy, DPIA, LIA, etc.)</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Within 2 weeks</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 Andrea</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4</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Both directors re-sign the corrected Data Protection Policy, CCTV Policy and CCTV DPIA</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After corrections complete</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 Sam</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5</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Renew ICO registration ZA400710</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Before 07 June 2026</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Decision: archive the CCTV Compliance Pack or merge useful sections</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Within 2 weeks</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7</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Print and install CCTV signage at every entrance and covered area (wording from Policy Appendix A)</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Before new cameras go live (target 11 May 2026)</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 Maintenance</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8</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Verify Cloudflare Pro DPA, GitHub DPA, PCS DPA copies are on file</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Within 1 month</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9</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Publish the new Job Applicant Privacy Notice on the recruitment page</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Within 1 week</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r>
        <w:tc>
          <w:tcPr>
            <w:tcW w:type="dxa" w:w="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10</w:t>
            </w:r>
          </w:p>
        </w:tc>
        <w:tc>
          <w:tcPr>
            <w:tcW w:type="dxa" w:w="43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Issue the Family Portal Privacy Notice to every existing family portal user; include in welcome pack for future users</w:t>
            </w:r>
          </w:p>
        </w:tc>
        <w:tc>
          <w:tcPr>
            <w:tcW w:type="dxa" w:w="18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Within 2 weeks</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c>
          <w:tcPr>
            <w:tcW w:type="dxa" w:w="12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4 — ANNUAL REVIEW CYCLE</w:t>
      </w:r>
    </w:p>
    <w:p>
      <w:pPr>
        <w:spacing w:after="60" w:before="60"/>
      </w:pPr>
      <w:r>
        <w:rPr>
          <w:rFonts w:ascii="Arial" w:cs="Arial" w:eastAsia="Arial" w:hAnsi="Arial"/>
        </w:rPr>
        <w:t xml:space="preserve">Set these as recurring calendar reminders.</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460"/>
        <w:gridCol w:w="1500"/>
      </w:tblGrid>
      <w:tr>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When</w:t>
            </w:r>
          </w:p>
        </w:tc>
        <w:tc>
          <w:tcPr>
            <w:tcW w:type="dxa" w:w="54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What to review</w:t>
            </w:r>
          </w:p>
        </w:tc>
        <w:tc>
          <w:tcPr>
            <w:tcW w:type="dxa" w:w="15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Who</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June (before ICO expiry)</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Renew ICO registration. Audit DPAs. Update tracker.</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April (anniversary of Data Protection Policy)</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Review Data Protection Policy + Portal DPIA + Portal ROPA + Privacy Notices</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 Andrea</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April (anniversary of CCTV documents)</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Review CCTV Policy + DPIA + LIA. Walk every camera angle. Test access log.</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Every quarter</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Review Compliance Tracker. Check status of every document. Update where needed.</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 every staff induction</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New starter signs Data Protection Policy. Issue staff privacy notice. Brief on portal acceptable use.</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 every resident admission</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Issue Family Portal Privacy Notice (where family wants access). Issue CCTV notice as part of welcome pack.</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After every breach or near-miss</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Update relevant document. Log lesson learned. Review related risks in DPIA.</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After every CQC inspection</w:t>
            </w:r>
          </w:p>
        </w:tc>
        <w:tc>
          <w:tcPr>
            <w:tcW w:type="dxa" w:w="54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Update tracker with any documents requested. Note any corrections required.</w:t>
            </w:r>
          </w:p>
        </w:tc>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5 — WHERE EACH DOCUMENT LIVES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Location</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Documents stored here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Compliance folder (printed master copies)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All Group A and Group B documents — signed paper copies for inspection</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Director laptop — secure folder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All electronic master copies. Director Confidential Guide. CLAUDE.md.</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OneDrive — Compliance backup folder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Electronic copies of every document above (synced backup)</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Resident welcome pack</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CCTV Privacy summary; Family Portal Privacy Notice (if applicable)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Staff handbook / induction pack</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 Protection Policy (signed copy in personnel file); CCTV signage acknowledgement</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Recruitment page (online)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Job Applicant Privacy Notice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Family Portal (online)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Family Portal Privacy Notice — link in footer</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QCS subscription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All standard CQC policies (Group D) — accessible online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Cloudflare dashboard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Worker source code (3 Workers) — also see CLAUDE.md §20 for restore instructions</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Supabase dashboard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Database schema, RLS policies, storage policies — also see CLAUDE.md</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GitHub (private repo)</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All portal source code — github.com/BVCH87/birkdale-portal</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SECTION 6 — SIGN-OFF</w:t>
      </w:r>
    </w:p>
    <w:p>
      <w:pPr>
        <w:spacing w:after="60" w:before="60"/>
      </w:pPr>
      <w:r>
        <w:rPr>
          <w:rFonts w:ascii="Arial" w:cs="Arial" w:eastAsia="Arial" w:hAnsi="Arial"/>
        </w:rPr>
        <w:t xml:space="preserve">This tracker is reviewed quarterly. Each review is signed and dated below.</w:t>
      </w:r>
    </w:p>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900"/>
        <w:gridCol w:w="2900"/>
        <w:gridCol w:w="2060"/>
      </w:tblGrid>
      <w:tr>
        <w:tc>
          <w:tcPr>
            <w:tcW w:type="dxa" w:w="15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Review date</w:t>
            </w:r>
          </w:p>
        </w:tc>
        <w:tc>
          <w:tcPr>
            <w:tcW w:type="dxa" w:w="29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Director signature</w:t>
            </w:r>
          </w:p>
        </w:tc>
        <w:tc>
          <w:tcPr>
            <w:tcW w:type="dxa" w:w="29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Manager signature</w:t>
            </w:r>
          </w:p>
        </w:tc>
        <w:tc>
          <w:tcPr>
            <w:tcW w:type="dxa" w:w="20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Notes</w:t>
            </w:r>
          </w:p>
        </w:tc>
      </w:tr>
      <w:tr>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(initial)</w:t>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First version produced</w:t>
            </w:r>
          </w:p>
        </w:tc>
      </w:tr>
      <w:tr>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r>
      <w:tr>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r>
      <w:tr>
        <w:tc>
          <w:tcPr>
            <w:tcW w:type="dxa" w:w="15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9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c>
          <w:tcPr>
            <w:tcW w:type="dxa" w:w="20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REMEMBER.</w:t>
            </w:r>
            <w:r>
              <w:rPr>
                <w:rFonts w:ascii="Arial" w:cs="Arial" w:eastAsia="Arial" w:hAnsi="Arial"/>
              </w:rPr>
              <w:t xml:space="preserve"> This tracker is your evidence trail. If a regulator asks 'how do you keep on top of compliance?', this is the answer. Keep it current. A tracker last reviewed 18 months ago is worse than no tracker at all.</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Tracker</dc:title>
  <dc:creator>SBS-Services Limited (Birkdale Village Care Home)</dc:creator>
  <cp:lastModifiedBy>Un-named</cp:lastModifiedBy>
  <cp:revision>1</cp:revision>
  <dcterms:created xsi:type="dcterms:W3CDTF">2026-05-02T15:40:20.279Z</dcterms:created>
  <dcterms:modified xsi:type="dcterms:W3CDTF">2026-05-02T15:40:20.280Z</dcterms:modified>
</cp:coreProperties>
</file>

<file path=docProps/custom.xml><?xml version="1.0" encoding="utf-8"?>
<Properties xmlns="http://schemas.openxmlformats.org/officeDocument/2006/custom-properties" xmlns:vt="http://schemas.openxmlformats.org/officeDocument/2006/docPropsVTypes"/>
</file>